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59695">
      <w:pPr>
        <w:rPr>
          <w:rFonts w:ascii="黑体" w:hAnsi="黑体" w:eastAsia="黑体"/>
          <w:sz w:val="32"/>
          <w:szCs w:val="32"/>
        </w:rPr>
      </w:pPr>
    </w:p>
    <w:p w14:paraId="07640A1F">
      <w:pPr>
        <w:rPr>
          <w:rFonts w:ascii="黑体" w:hAnsi="黑体" w:eastAsia="黑体"/>
          <w:sz w:val="32"/>
          <w:szCs w:val="32"/>
        </w:rPr>
      </w:pPr>
    </w:p>
    <w:p w14:paraId="79C452A4">
      <w:pPr>
        <w:rPr>
          <w:rFonts w:ascii="黑体" w:hAnsi="黑体" w:eastAsia="黑体"/>
          <w:sz w:val="32"/>
          <w:szCs w:val="32"/>
        </w:rPr>
      </w:pPr>
    </w:p>
    <w:p w14:paraId="13509B1F">
      <w:pPr>
        <w:rPr>
          <w:rFonts w:ascii="黑体" w:hAnsi="黑体" w:eastAsia="黑体"/>
          <w:sz w:val="32"/>
          <w:szCs w:val="32"/>
        </w:rPr>
      </w:pPr>
    </w:p>
    <w:p w14:paraId="73600C0F">
      <w:pPr>
        <w:jc w:val="center"/>
        <w:rPr>
          <w:rFonts w:ascii="黑体" w:hAnsi="黑体" w:eastAsia="黑体"/>
          <w:sz w:val="32"/>
          <w:szCs w:val="32"/>
        </w:rPr>
      </w:pPr>
      <w:r>
        <w:rPr>
          <w:rFonts w:hint="eastAsia" w:ascii="黑体" w:hAnsi="黑体" w:eastAsia="黑体"/>
          <w:sz w:val="32"/>
          <w:szCs w:val="32"/>
        </w:rPr>
        <w:t>中国化工节能技术协</w:t>
      </w:r>
      <w:r>
        <w:rPr>
          <w:rFonts w:ascii="黑体" w:hAnsi="黑体" w:eastAsia="黑体"/>
          <w:sz w:val="32"/>
          <w:szCs w:val="32"/>
        </w:rPr>
        <w:t>会团体标准</w:t>
      </w:r>
    </w:p>
    <w:p w14:paraId="1D598284">
      <w:pPr>
        <w:jc w:val="center"/>
        <w:rPr>
          <w:rFonts w:ascii="黑体" w:hAnsi="黑体" w:eastAsia="黑体"/>
          <w:sz w:val="32"/>
          <w:szCs w:val="32"/>
        </w:rPr>
      </w:pPr>
      <w:r>
        <w:rPr>
          <w:rFonts w:hint="eastAsia" w:ascii="黑体" w:hAnsi="黑体" w:eastAsia="黑体"/>
          <w:sz w:val="32"/>
          <w:szCs w:val="32"/>
        </w:rPr>
        <w:t>《</w:t>
      </w:r>
      <w:r>
        <w:rPr>
          <w:rFonts w:ascii="黑体" w:hAnsi="黑体" w:eastAsia="黑体" w:cs="Times New Roman"/>
          <w:sz w:val="32"/>
          <w:szCs w:val="32"/>
        </w:rPr>
        <w:t>现代煤化工行业</w:t>
      </w:r>
      <w:r>
        <w:rPr>
          <w:rFonts w:hint="eastAsia" w:ascii="黑体" w:hAnsi="黑体" w:eastAsia="黑体" w:cs="Times New Roman"/>
          <w:sz w:val="32"/>
          <w:szCs w:val="32"/>
        </w:rPr>
        <w:t>污染治理措施</w:t>
      </w:r>
      <w:bookmarkStart w:id="28" w:name="_GoBack"/>
      <w:bookmarkEnd w:id="28"/>
      <w:r>
        <w:rPr>
          <w:rFonts w:hint="eastAsia" w:ascii="黑体" w:hAnsi="黑体" w:eastAsia="黑体" w:cs="Times New Roman"/>
          <w:sz w:val="32"/>
          <w:szCs w:val="32"/>
        </w:rPr>
        <w:t>碳排放水平</w:t>
      </w:r>
      <w:r>
        <w:rPr>
          <w:rFonts w:ascii="黑体" w:hAnsi="黑体" w:eastAsia="黑体" w:cs="Times New Roman"/>
          <w:sz w:val="32"/>
          <w:szCs w:val="32"/>
        </w:rPr>
        <w:t>基准</w:t>
      </w:r>
      <w:r>
        <w:rPr>
          <w:rFonts w:hint="eastAsia" w:ascii="黑体" w:hAnsi="黑体" w:eastAsia="黑体"/>
          <w:sz w:val="32"/>
          <w:szCs w:val="32"/>
        </w:rPr>
        <w:t>》</w:t>
      </w:r>
    </w:p>
    <w:p w14:paraId="60307CE7">
      <w:pPr>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征求意见</w:t>
      </w:r>
      <w:r>
        <w:rPr>
          <w:rFonts w:hint="eastAsia" w:ascii="黑体" w:hAnsi="黑体" w:eastAsia="黑体"/>
          <w:sz w:val="32"/>
          <w:szCs w:val="32"/>
        </w:rPr>
        <w:t>稿）</w:t>
      </w:r>
    </w:p>
    <w:p w14:paraId="5D70CAD7">
      <w:pPr>
        <w:jc w:val="center"/>
        <w:rPr>
          <w:rFonts w:ascii="黑体" w:hAnsi="黑体" w:eastAsia="黑体"/>
          <w:sz w:val="32"/>
          <w:szCs w:val="32"/>
        </w:rPr>
      </w:pPr>
    </w:p>
    <w:p w14:paraId="40AF605C">
      <w:pPr>
        <w:jc w:val="center"/>
        <w:rPr>
          <w:rFonts w:ascii="黑体" w:hAnsi="黑体" w:eastAsia="黑体"/>
          <w:sz w:val="32"/>
          <w:szCs w:val="32"/>
        </w:rPr>
      </w:pPr>
    </w:p>
    <w:p w14:paraId="766D8CF2">
      <w:pPr>
        <w:jc w:val="center"/>
        <w:rPr>
          <w:rFonts w:ascii="黑体" w:hAnsi="黑体" w:eastAsia="黑体"/>
          <w:sz w:val="32"/>
          <w:szCs w:val="32"/>
        </w:rPr>
      </w:pPr>
    </w:p>
    <w:p w14:paraId="69B48BA8">
      <w:pPr>
        <w:jc w:val="center"/>
        <w:rPr>
          <w:rFonts w:ascii="黑体" w:hAnsi="黑体" w:eastAsia="黑体"/>
          <w:sz w:val="32"/>
          <w:szCs w:val="32"/>
        </w:rPr>
      </w:pPr>
      <w:r>
        <w:rPr>
          <w:rFonts w:hint="eastAsia" w:ascii="黑体" w:hAnsi="黑体" w:eastAsia="黑体"/>
          <w:sz w:val="32"/>
          <w:szCs w:val="32"/>
        </w:rPr>
        <w:t>编制说明</w:t>
      </w:r>
    </w:p>
    <w:p w14:paraId="51666268">
      <w:pPr>
        <w:jc w:val="center"/>
        <w:rPr>
          <w:rFonts w:ascii="黑体" w:hAnsi="黑体" w:eastAsia="黑体"/>
          <w:sz w:val="32"/>
          <w:szCs w:val="32"/>
        </w:rPr>
      </w:pPr>
    </w:p>
    <w:p w14:paraId="1F54CFB8">
      <w:pPr>
        <w:jc w:val="center"/>
        <w:rPr>
          <w:rFonts w:ascii="黑体" w:hAnsi="黑体" w:eastAsia="黑体"/>
          <w:sz w:val="32"/>
          <w:szCs w:val="32"/>
        </w:rPr>
      </w:pPr>
    </w:p>
    <w:p w14:paraId="42E3D44A">
      <w:pPr>
        <w:jc w:val="center"/>
        <w:rPr>
          <w:rFonts w:ascii="黑体" w:hAnsi="黑体" w:eastAsia="黑体"/>
          <w:sz w:val="32"/>
          <w:szCs w:val="32"/>
        </w:rPr>
      </w:pPr>
    </w:p>
    <w:p w14:paraId="478A339B">
      <w:pPr>
        <w:jc w:val="center"/>
        <w:rPr>
          <w:rFonts w:ascii="黑体" w:hAnsi="黑体" w:eastAsia="黑体"/>
          <w:sz w:val="32"/>
          <w:szCs w:val="32"/>
        </w:rPr>
      </w:pPr>
    </w:p>
    <w:p w14:paraId="650C166C">
      <w:pPr>
        <w:jc w:val="center"/>
        <w:rPr>
          <w:rFonts w:ascii="黑体" w:hAnsi="黑体" w:eastAsia="黑体"/>
          <w:sz w:val="32"/>
          <w:szCs w:val="32"/>
        </w:rPr>
      </w:pPr>
    </w:p>
    <w:p w14:paraId="0C898593">
      <w:pPr>
        <w:jc w:val="center"/>
        <w:rPr>
          <w:rFonts w:ascii="黑体" w:hAnsi="黑体" w:eastAsia="黑体"/>
          <w:sz w:val="32"/>
          <w:szCs w:val="32"/>
        </w:rPr>
      </w:pPr>
    </w:p>
    <w:p w14:paraId="2F8B73B2">
      <w:pPr>
        <w:jc w:val="center"/>
        <w:rPr>
          <w:rFonts w:ascii="黑体" w:hAnsi="黑体" w:eastAsia="黑体"/>
          <w:sz w:val="32"/>
          <w:szCs w:val="32"/>
        </w:rPr>
      </w:pPr>
    </w:p>
    <w:p w14:paraId="152A4F14">
      <w:pPr>
        <w:jc w:val="center"/>
        <w:rPr>
          <w:rFonts w:ascii="黑体" w:hAnsi="黑体" w:eastAsia="黑体"/>
          <w:sz w:val="32"/>
          <w:szCs w:val="32"/>
        </w:rPr>
      </w:pPr>
      <w:r>
        <w:rPr>
          <w:rFonts w:hint="eastAsia" w:ascii="黑体" w:hAnsi="黑体" w:eastAsia="黑体"/>
          <w:sz w:val="32"/>
          <w:szCs w:val="32"/>
        </w:rPr>
        <w:t>《</w:t>
      </w:r>
      <w:r>
        <w:rPr>
          <w:rFonts w:ascii="黑体" w:hAnsi="黑体" w:eastAsia="黑体" w:cs="Times New Roman"/>
          <w:sz w:val="32"/>
          <w:szCs w:val="32"/>
        </w:rPr>
        <w:t>现代煤化工行业</w:t>
      </w:r>
      <w:r>
        <w:rPr>
          <w:rFonts w:hint="eastAsia" w:ascii="黑体" w:hAnsi="黑体" w:eastAsia="黑体" w:cs="Times New Roman"/>
          <w:sz w:val="32"/>
          <w:szCs w:val="32"/>
        </w:rPr>
        <w:t>污染治理措施</w:t>
      </w:r>
      <w:r>
        <w:rPr>
          <w:rFonts w:ascii="黑体" w:hAnsi="黑体" w:eastAsia="黑体" w:cs="Times New Roman"/>
          <w:sz w:val="32"/>
          <w:szCs w:val="32"/>
        </w:rPr>
        <w:t>碳排放</w:t>
      </w:r>
      <w:r>
        <w:rPr>
          <w:rFonts w:hint="eastAsia" w:ascii="黑体" w:hAnsi="黑体" w:eastAsia="黑体" w:cs="Times New Roman"/>
          <w:sz w:val="32"/>
          <w:szCs w:val="32"/>
        </w:rPr>
        <w:t>水平</w:t>
      </w:r>
      <w:r>
        <w:rPr>
          <w:rFonts w:ascii="黑体" w:hAnsi="黑体" w:eastAsia="黑体" w:cs="Times New Roman"/>
          <w:sz w:val="32"/>
          <w:szCs w:val="32"/>
        </w:rPr>
        <w:t>基准</w:t>
      </w:r>
      <w:r>
        <w:rPr>
          <w:rFonts w:hint="eastAsia" w:ascii="黑体" w:hAnsi="黑体" w:eastAsia="黑体"/>
          <w:sz w:val="32"/>
          <w:szCs w:val="32"/>
        </w:rPr>
        <w:t>》编制组</w:t>
      </w:r>
    </w:p>
    <w:p w14:paraId="039785A6">
      <w:pPr>
        <w:jc w:val="center"/>
        <w:rPr>
          <w:rFonts w:ascii="黑体" w:hAnsi="黑体" w:eastAsia="黑体"/>
          <w:sz w:val="32"/>
          <w:szCs w:val="32"/>
        </w:rPr>
      </w:pPr>
    </w:p>
    <w:p w14:paraId="0CEC6404">
      <w:pPr>
        <w:jc w:val="center"/>
        <w:rPr>
          <w:rFonts w:ascii="黑体" w:hAnsi="黑体" w:eastAsia="黑体"/>
          <w:sz w:val="32"/>
          <w:szCs w:val="32"/>
        </w:rPr>
      </w:pPr>
      <w:r>
        <w:rPr>
          <w:rFonts w:hint="eastAsia" w:ascii="黑体" w:hAnsi="黑体" w:eastAsia="黑体"/>
          <w:sz w:val="32"/>
          <w:szCs w:val="32"/>
        </w:rPr>
        <w:t>2</w:t>
      </w:r>
      <w:r>
        <w:rPr>
          <w:rFonts w:ascii="黑体" w:hAnsi="黑体" w:eastAsia="黑体"/>
          <w:sz w:val="32"/>
          <w:szCs w:val="32"/>
        </w:rPr>
        <w:t>0</w:t>
      </w:r>
      <w:r>
        <w:rPr>
          <w:rFonts w:hint="eastAsia" w:ascii="黑体" w:hAnsi="黑体" w:eastAsia="黑体"/>
          <w:sz w:val="32"/>
          <w:szCs w:val="32"/>
        </w:rPr>
        <w:t>24年11月</w:t>
      </w:r>
    </w:p>
    <w:p w14:paraId="369C8D00">
      <w:pPr>
        <w:jc w:val="center"/>
        <w:rPr>
          <w:rFonts w:ascii="黑体" w:hAnsi="黑体" w:eastAsia="黑体"/>
          <w:sz w:val="32"/>
          <w:szCs w:val="32"/>
        </w:rPr>
        <w:sectPr>
          <w:footerReference r:id="rId3" w:type="default"/>
          <w:pgSz w:w="11906" w:h="16838"/>
          <w:pgMar w:top="1440" w:right="1800" w:bottom="1440" w:left="1800" w:header="851" w:footer="992" w:gutter="0"/>
          <w:pgNumType w:fmt="upperRoman" w:start="1"/>
          <w:cols w:space="425" w:num="1"/>
          <w:docGrid w:type="lines" w:linePitch="312" w:charSpace="0"/>
        </w:sectPr>
      </w:pPr>
    </w:p>
    <w:sdt>
      <w:sdtPr>
        <w:rPr>
          <w:sz w:val="36"/>
          <w:szCs w:val="36"/>
          <w:lang w:val="zh-CN"/>
        </w:rPr>
        <w:id w:val="-1497645373"/>
        <w:docPartObj>
          <w:docPartGallery w:val="Table of Contents"/>
          <w:docPartUnique/>
        </w:docPartObj>
      </w:sdtPr>
      <w:sdtEndPr>
        <w:rPr>
          <w:b/>
          <w:bCs/>
          <w:sz w:val="21"/>
          <w:szCs w:val="22"/>
          <w:lang w:val="zh-CN"/>
        </w:rPr>
      </w:sdtEndPr>
      <w:sdtContent>
        <w:p w14:paraId="5CCE701A">
          <w:pPr>
            <w:snapToGrid w:val="0"/>
            <w:spacing w:line="360" w:lineRule="auto"/>
            <w:jc w:val="center"/>
            <w:rPr>
              <w:sz w:val="36"/>
              <w:szCs w:val="36"/>
              <w:lang w:val="zh-CN"/>
            </w:rPr>
          </w:pPr>
        </w:p>
        <w:p w14:paraId="1334187D">
          <w:pPr>
            <w:snapToGrid w:val="0"/>
            <w:spacing w:line="360" w:lineRule="auto"/>
            <w:jc w:val="center"/>
            <w:rPr>
              <w:rFonts w:ascii="宋体" w:hAnsi="宋体" w:eastAsia="宋体"/>
              <w:sz w:val="36"/>
              <w:szCs w:val="36"/>
            </w:rPr>
          </w:pPr>
          <w:r>
            <w:rPr>
              <w:rFonts w:ascii="宋体" w:hAnsi="宋体" w:eastAsia="宋体"/>
              <w:sz w:val="36"/>
              <w:szCs w:val="36"/>
            </w:rPr>
            <w:t>目录</w:t>
          </w:r>
        </w:p>
        <w:p w14:paraId="5945BCD0">
          <w:pPr>
            <w:snapToGrid w:val="0"/>
            <w:spacing w:line="360" w:lineRule="auto"/>
            <w:jc w:val="center"/>
            <w:rPr>
              <w:rFonts w:ascii="宋体" w:hAnsi="宋体" w:eastAsia="宋体"/>
              <w:sz w:val="36"/>
              <w:szCs w:val="36"/>
            </w:rPr>
          </w:pPr>
        </w:p>
        <w:p w14:paraId="38C04184">
          <w:pPr>
            <w:pStyle w:val="13"/>
            <w:tabs>
              <w:tab w:val="right" w:leader="dot" w:pos="8306"/>
            </w:tabs>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TOC \o "1-3" \h \z \u </w:instrText>
          </w:r>
          <w:r>
            <w:rPr>
              <w:rFonts w:ascii="Times New Roman" w:hAnsi="Times New Roman" w:eastAsia="宋体" w:cs="Times New Roman"/>
              <w:sz w:val="24"/>
              <w:szCs w:val="24"/>
            </w:rPr>
            <w:fldChar w:fldCharType="separate"/>
          </w:r>
          <w:r>
            <w:fldChar w:fldCharType="begin"/>
          </w:r>
          <w:r>
            <w:instrText xml:space="preserve"> HYPERLINK \l "_Toc2141" </w:instrText>
          </w:r>
          <w:r>
            <w:fldChar w:fldCharType="separate"/>
          </w:r>
          <w:r>
            <w:rPr>
              <w:rFonts w:hint="eastAsia"/>
            </w:rPr>
            <w:t>1 项目背景</w:t>
          </w:r>
          <w:r>
            <w:tab/>
          </w:r>
          <w:r>
            <w:fldChar w:fldCharType="begin"/>
          </w:r>
          <w:r>
            <w:instrText xml:space="preserve"> PAGEREF _Toc2141 \h </w:instrText>
          </w:r>
          <w:r>
            <w:fldChar w:fldCharType="separate"/>
          </w:r>
          <w:r>
            <w:t>1</w:t>
          </w:r>
          <w:r>
            <w:fldChar w:fldCharType="end"/>
          </w:r>
          <w:r>
            <w:fldChar w:fldCharType="end"/>
          </w:r>
        </w:p>
        <w:p w14:paraId="6162F5CD">
          <w:pPr>
            <w:pStyle w:val="14"/>
            <w:tabs>
              <w:tab w:val="right" w:leader="dot" w:pos="8306"/>
            </w:tabs>
          </w:pPr>
          <w:r>
            <w:fldChar w:fldCharType="begin"/>
          </w:r>
          <w:r>
            <w:instrText xml:space="preserve"> HYPERLINK \l "_Toc32442" </w:instrText>
          </w:r>
          <w:r>
            <w:fldChar w:fldCharType="separate"/>
          </w:r>
          <w:r>
            <w:rPr>
              <w:rFonts w:hint="eastAsia"/>
            </w:rPr>
            <w:t>1.1 任务来源</w:t>
          </w:r>
          <w:r>
            <w:tab/>
          </w:r>
          <w:r>
            <w:fldChar w:fldCharType="begin"/>
          </w:r>
          <w:r>
            <w:instrText xml:space="preserve"> PAGEREF _Toc32442 \h </w:instrText>
          </w:r>
          <w:r>
            <w:fldChar w:fldCharType="separate"/>
          </w:r>
          <w:r>
            <w:t>1</w:t>
          </w:r>
          <w:r>
            <w:fldChar w:fldCharType="end"/>
          </w:r>
          <w:r>
            <w:fldChar w:fldCharType="end"/>
          </w:r>
        </w:p>
        <w:p w14:paraId="56076D62">
          <w:pPr>
            <w:pStyle w:val="14"/>
            <w:tabs>
              <w:tab w:val="right" w:leader="dot" w:pos="8306"/>
            </w:tabs>
          </w:pPr>
          <w:r>
            <w:fldChar w:fldCharType="begin"/>
          </w:r>
          <w:r>
            <w:instrText xml:space="preserve"> HYPERLINK \l "_Toc3591" </w:instrText>
          </w:r>
          <w:r>
            <w:fldChar w:fldCharType="separate"/>
          </w:r>
          <w:r>
            <w:rPr>
              <w:rFonts w:hint="eastAsia"/>
            </w:rPr>
            <w:t>1.2 主要工作过程</w:t>
          </w:r>
          <w:r>
            <w:tab/>
          </w:r>
          <w:r>
            <w:fldChar w:fldCharType="begin"/>
          </w:r>
          <w:r>
            <w:instrText xml:space="preserve"> PAGEREF _Toc3591 \h </w:instrText>
          </w:r>
          <w:r>
            <w:fldChar w:fldCharType="separate"/>
          </w:r>
          <w:r>
            <w:t>1</w:t>
          </w:r>
          <w:r>
            <w:fldChar w:fldCharType="end"/>
          </w:r>
          <w:r>
            <w:fldChar w:fldCharType="end"/>
          </w:r>
        </w:p>
        <w:p w14:paraId="0FC6819E">
          <w:pPr>
            <w:pStyle w:val="13"/>
            <w:tabs>
              <w:tab w:val="right" w:leader="dot" w:pos="8306"/>
            </w:tabs>
          </w:pPr>
          <w:r>
            <w:fldChar w:fldCharType="begin"/>
          </w:r>
          <w:r>
            <w:instrText xml:space="preserve"> HYPERLINK \l "_Toc10404" </w:instrText>
          </w:r>
          <w:r>
            <w:fldChar w:fldCharType="separate"/>
          </w:r>
          <w:r>
            <w:rPr>
              <w:rFonts w:hint="eastAsia"/>
            </w:rPr>
            <w:t>2 标准制定的必要性和意义</w:t>
          </w:r>
          <w:r>
            <w:tab/>
          </w:r>
          <w:r>
            <w:fldChar w:fldCharType="begin"/>
          </w:r>
          <w:r>
            <w:instrText xml:space="preserve"> PAGEREF _Toc10404 \h </w:instrText>
          </w:r>
          <w:r>
            <w:fldChar w:fldCharType="separate"/>
          </w:r>
          <w:r>
            <w:t>3</w:t>
          </w:r>
          <w:r>
            <w:fldChar w:fldCharType="end"/>
          </w:r>
          <w:r>
            <w:fldChar w:fldCharType="end"/>
          </w:r>
        </w:p>
        <w:p w14:paraId="55ABE6D1">
          <w:pPr>
            <w:pStyle w:val="13"/>
            <w:tabs>
              <w:tab w:val="right" w:leader="dot" w:pos="8306"/>
            </w:tabs>
          </w:pPr>
          <w:r>
            <w:fldChar w:fldCharType="begin"/>
          </w:r>
          <w:r>
            <w:instrText xml:space="preserve"> HYPERLINK \l "_Toc24627" </w:instrText>
          </w:r>
          <w:r>
            <w:fldChar w:fldCharType="separate"/>
          </w:r>
          <w:r>
            <w:rPr>
              <w:rFonts w:hint="eastAsia"/>
            </w:rPr>
            <w:t>3 行业概况</w:t>
          </w:r>
          <w:r>
            <w:tab/>
          </w:r>
          <w:r>
            <w:fldChar w:fldCharType="begin"/>
          </w:r>
          <w:r>
            <w:instrText xml:space="preserve"> PAGEREF _Toc24627 \h </w:instrText>
          </w:r>
          <w:r>
            <w:fldChar w:fldCharType="separate"/>
          </w:r>
          <w:r>
            <w:t>3</w:t>
          </w:r>
          <w:r>
            <w:fldChar w:fldCharType="end"/>
          </w:r>
          <w:r>
            <w:fldChar w:fldCharType="end"/>
          </w:r>
        </w:p>
        <w:p w14:paraId="353FD4CA">
          <w:pPr>
            <w:pStyle w:val="14"/>
            <w:tabs>
              <w:tab w:val="right" w:leader="dot" w:pos="8306"/>
            </w:tabs>
          </w:pPr>
          <w:r>
            <w:fldChar w:fldCharType="begin"/>
          </w:r>
          <w:r>
            <w:instrText xml:space="preserve"> HYPERLINK \l "_Toc16516" </w:instrText>
          </w:r>
          <w:r>
            <w:fldChar w:fldCharType="separate"/>
          </w:r>
          <w:r>
            <w:rPr>
              <w:rFonts w:hint="eastAsia"/>
            </w:rPr>
            <w:t>3.1 现代煤化工发展现状</w:t>
          </w:r>
          <w:r>
            <w:tab/>
          </w:r>
          <w:r>
            <w:fldChar w:fldCharType="begin"/>
          </w:r>
          <w:r>
            <w:instrText xml:space="preserve"> PAGEREF _Toc16516 \h </w:instrText>
          </w:r>
          <w:r>
            <w:fldChar w:fldCharType="separate"/>
          </w:r>
          <w:r>
            <w:t>3</w:t>
          </w:r>
          <w:r>
            <w:fldChar w:fldCharType="end"/>
          </w:r>
          <w:r>
            <w:fldChar w:fldCharType="end"/>
          </w:r>
        </w:p>
        <w:p w14:paraId="7609EF85">
          <w:pPr>
            <w:pStyle w:val="14"/>
            <w:tabs>
              <w:tab w:val="right" w:leader="dot" w:pos="8306"/>
            </w:tabs>
          </w:pPr>
          <w:r>
            <w:fldChar w:fldCharType="begin"/>
          </w:r>
          <w:r>
            <w:instrText xml:space="preserve"> HYPERLINK \l "_Toc29444" </w:instrText>
          </w:r>
          <w:r>
            <w:fldChar w:fldCharType="separate"/>
          </w:r>
          <w:r>
            <w:rPr>
              <w:rFonts w:hint="eastAsia"/>
            </w:rPr>
            <w:t>3.2 现代煤化工行业污染治理措施碳排放现状</w:t>
          </w:r>
          <w:r>
            <w:tab/>
          </w:r>
          <w:r>
            <w:fldChar w:fldCharType="begin"/>
          </w:r>
          <w:r>
            <w:instrText xml:space="preserve"> PAGEREF _Toc29444 \h </w:instrText>
          </w:r>
          <w:r>
            <w:fldChar w:fldCharType="separate"/>
          </w:r>
          <w:r>
            <w:t>5</w:t>
          </w:r>
          <w:r>
            <w:fldChar w:fldCharType="end"/>
          </w:r>
          <w:r>
            <w:fldChar w:fldCharType="end"/>
          </w:r>
        </w:p>
        <w:p w14:paraId="2E652C2C">
          <w:pPr>
            <w:pStyle w:val="9"/>
            <w:tabs>
              <w:tab w:val="right" w:leader="dot" w:pos="8306"/>
            </w:tabs>
          </w:pPr>
          <w:r>
            <w:fldChar w:fldCharType="begin"/>
          </w:r>
          <w:r>
            <w:instrText xml:space="preserve"> HYPERLINK \l "_Toc26589" </w:instrText>
          </w:r>
          <w:r>
            <w:fldChar w:fldCharType="separate"/>
          </w:r>
          <w:r>
            <w:rPr>
              <w:rFonts w:ascii="Times New Roman" w:hAnsi="Times New Roman" w:cs="Times New Roman"/>
            </w:rPr>
            <w:t xml:space="preserve">3.2.1 </w:t>
          </w:r>
          <w:r>
            <w:rPr>
              <w:rFonts w:hint="eastAsia"/>
            </w:rPr>
            <w:t>现代煤化工行业典型污染治理措施碳排放水平</w:t>
          </w:r>
          <w:r>
            <w:tab/>
          </w:r>
          <w:r>
            <w:fldChar w:fldCharType="begin"/>
          </w:r>
          <w:r>
            <w:instrText xml:space="preserve"> PAGEREF _Toc26589 \h </w:instrText>
          </w:r>
          <w:r>
            <w:fldChar w:fldCharType="separate"/>
          </w:r>
          <w:r>
            <w:t>6</w:t>
          </w:r>
          <w:r>
            <w:fldChar w:fldCharType="end"/>
          </w:r>
          <w:r>
            <w:fldChar w:fldCharType="end"/>
          </w:r>
        </w:p>
        <w:p w14:paraId="124CAC86">
          <w:pPr>
            <w:pStyle w:val="13"/>
            <w:tabs>
              <w:tab w:val="right" w:leader="dot" w:pos="8306"/>
            </w:tabs>
          </w:pPr>
          <w:r>
            <w:fldChar w:fldCharType="begin"/>
          </w:r>
          <w:r>
            <w:instrText xml:space="preserve"> HYPERLINK \l "_Toc4148" </w:instrText>
          </w:r>
          <w:r>
            <w:fldChar w:fldCharType="separate"/>
          </w:r>
          <w:r>
            <w:rPr>
              <w:rFonts w:hint="eastAsia"/>
            </w:rPr>
            <w:t>4 标准制定原则</w:t>
          </w:r>
          <w:r>
            <w:tab/>
          </w:r>
          <w:r>
            <w:fldChar w:fldCharType="begin"/>
          </w:r>
          <w:r>
            <w:instrText xml:space="preserve"> PAGEREF _Toc4148 \h </w:instrText>
          </w:r>
          <w:r>
            <w:fldChar w:fldCharType="separate"/>
          </w:r>
          <w:r>
            <w:t>11</w:t>
          </w:r>
          <w:r>
            <w:fldChar w:fldCharType="end"/>
          </w:r>
          <w:r>
            <w:fldChar w:fldCharType="end"/>
          </w:r>
        </w:p>
        <w:p w14:paraId="15962F82">
          <w:pPr>
            <w:pStyle w:val="13"/>
            <w:tabs>
              <w:tab w:val="right" w:leader="dot" w:pos="8306"/>
            </w:tabs>
          </w:pPr>
          <w:r>
            <w:fldChar w:fldCharType="begin"/>
          </w:r>
          <w:r>
            <w:instrText xml:space="preserve"> HYPERLINK \l "_Toc16059" </w:instrText>
          </w:r>
          <w:r>
            <w:fldChar w:fldCharType="separate"/>
          </w:r>
          <w:r>
            <w:rPr>
              <w:rFonts w:hint="eastAsia"/>
            </w:rPr>
            <w:t>5 标准主要编制内容和编制说明</w:t>
          </w:r>
          <w:r>
            <w:tab/>
          </w:r>
          <w:r>
            <w:fldChar w:fldCharType="begin"/>
          </w:r>
          <w:r>
            <w:instrText xml:space="preserve"> PAGEREF _Toc16059 \h </w:instrText>
          </w:r>
          <w:r>
            <w:fldChar w:fldCharType="separate"/>
          </w:r>
          <w:r>
            <w:t>11</w:t>
          </w:r>
          <w:r>
            <w:fldChar w:fldCharType="end"/>
          </w:r>
          <w:r>
            <w:fldChar w:fldCharType="end"/>
          </w:r>
        </w:p>
        <w:p w14:paraId="6B109BEB">
          <w:pPr>
            <w:pStyle w:val="14"/>
            <w:tabs>
              <w:tab w:val="right" w:leader="dot" w:pos="8306"/>
            </w:tabs>
          </w:pPr>
          <w:r>
            <w:fldChar w:fldCharType="begin"/>
          </w:r>
          <w:r>
            <w:instrText xml:space="preserve"> HYPERLINK \l "_Toc18416" </w:instrText>
          </w:r>
          <w:r>
            <w:fldChar w:fldCharType="separate"/>
          </w:r>
          <w:r>
            <w:rPr>
              <w:rFonts w:hint="eastAsia"/>
            </w:rPr>
            <w:t>5.1 范围</w:t>
          </w:r>
          <w:r>
            <w:tab/>
          </w:r>
          <w:r>
            <w:fldChar w:fldCharType="begin"/>
          </w:r>
          <w:r>
            <w:instrText xml:space="preserve"> PAGEREF _Toc18416 \h </w:instrText>
          </w:r>
          <w:r>
            <w:fldChar w:fldCharType="separate"/>
          </w:r>
          <w:r>
            <w:t>11</w:t>
          </w:r>
          <w:r>
            <w:fldChar w:fldCharType="end"/>
          </w:r>
          <w:r>
            <w:fldChar w:fldCharType="end"/>
          </w:r>
        </w:p>
        <w:p w14:paraId="3729BD8F">
          <w:pPr>
            <w:pStyle w:val="14"/>
            <w:tabs>
              <w:tab w:val="right" w:leader="dot" w:pos="8306"/>
            </w:tabs>
          </w:pPr>
          <w:r>
            <w:fldChar w:fldCharType="begin"/>
          </w:r>
          <w:r>
            <w:instrText xml:space="preserve"> HYPERLINK \l "_Toc2974" </w:instrText>
          </w:r>
          <w:r>
            <w:fldChar w:fldCharType="separate"/>
          </w:r>
          <w:r>
            <w:rPr>
              <w:rFonts w:hint="eastAsia"/>
            </w:rPr>
            <w:t>5.2 术语和定义</w:t>
          </w:r>
          <w:r>
            <w:tab/>
          </w:r>
          <w:r>
            <w:fldChar w:fldCharType="begin"/>
          </w:r>
          <w:r>
            <w:instrText xml:space="preserve"> PAGEREF _Toc2974 \h </w:instrText>
          </w:r>
          <w:r>
            <w:fldChar w:fldCharType="separate"/>
          </w:r>
          <w:r>
            <w:t>11</w:t>
          </w:r>
          <w:r>
            <w:fldChar w:fldCharType="end"/>
          </w:r>
          <w:r>
            <w:fldChar w:fldCharType="end"/>
          </w:r>
        </w:p>
        <w:p w14:paraId="571D326D">
          <w:pPr>
            <w:pStyle w:val="14"/>
            <w:tabs>
              <w:tab w:val="right" w:leader="dot" w:pos="8306"/>
            </w:tabs>
          </w:pPr>
          <w:r>
            <w:fldChar w:fldCharType="begin"/>
          </w:r>
          <w:r>
            <w:instrText xml:space="preserve"> HYPERLINK \l "_Toc2462" </w:instrText>
          </w:r>
          <w:r>
            <w:fldChar w:fldCharType="separate"/>
          </w:r>
          <w:r>
            <w:rPr>
              <w:rFonts w:hint="eastAsia"/>
            </w:rPr>
            <w:t>5.3 技术要求</w:t>
          </w:r>
          <w:r>
            <w:tab/>
          </w:r>
          <w:r>
            <w:fldChar w:fldCharType="begin"/>
          </w:r>
          <w:r>
            <w:instrText xml:space="preserve"> PAGEREF _Toc2462 \h </w:instrText>
          </w:r>
          <w:r>
            <w:fldChar w:fldCharType="separate"/>
          </w:r>
          <w:r>
            <w:t>11</w:t>
          </w:r>
          <w:r>
            <w:fldChar w:fldCharType="end"/>
          </w:r>
          <w:r>
            <w:fldChar w:fldCharType="end"/>
          </w:r>
        </w:p>
        <w:p w14:paraId="0ADBA88B">
          <w:pPr>
            <w:pStyle w:val="14"/>
            <w:tabs>
              <w:tab w:val="right" w:leader="dot" w:pos="8306"/>
            </w:tabs>
          </w:pPr>
          <w:r>
            <w:fldChar w:fldCharType="begin"/>
          </w:r>
          <w:r>
            <w:instrText xml:space="preserve"> HYPERLINK \l "_Toc16307" </w:instrText>
          </w:r>
          <w:r>
            <w:fldChar w:fldCharType="separate"/>
          </w:r>
          <w:r>
            <w:rPr>
              <w:rFonts w:hint="eastAsia"/>
            </w:rPr>
            <w:t>5.4 统计范围和计算方法</w:t>
          </w:r>
          <w:r>
            <w:tab/>
          </w:r>
          <w:r>
            <w:fldChar w:fldCharType="begin"/>
          </w:r>
          <w:r>
            <w:instrText xml:space="preserve"> PAGEREF _Toc16307 \h </w:instrText>
          </w:r>
          <w:r>
            <w:fldChar w:fldCharType="separate"/>
          </w:r>
          <w:r>
            <w:t>12</w:t>
          </w:r>
          <w:r>
            <w:fldChar w:fldCharType="end"/>
          </w:r>
          <w:r>
            <w:fldChar w:fldCharType="end"/>
          </w:r>
        </w:p>
        <w:p w14:paraId="778CFA7D">
          <w:pPr>
            <w:pStyle w:val="14"/>
            <w:tabs>
              <w:tab w:val="right" w:leader="dot" w:pos="8306"/>
            </w:tabs>
          </w:pPr>
          <w:r>
            <w:fldChar w:fldCharType="begin"/>
          </w:r>
          <w:r>
            <w:instrText xml:space="preserve"> HYPERLINK \l "_Toc11173" </w:instrText>
          </w:r>
          <w:r>
            <w:fldChar w:fldCharType="separate"/>
          </w:r>
          <w:r>
            <w:rPr>
              <w:rFonts w:hint="eastAsia"/>
            </w:rPr>
            <w:t>5.5 污染治理措施碳排放管理及措施</w:t>
          </w:r>
          <w:r>
            <w:tab/>
          </w:r>
          <w:r>
            <w:fldChar w:fldCharType="begin"/>
          </w:r>
          <w:r>
            <w:instrText xml:space="preserve"> PAGEREF _Toc11173 \h </w:instrText>
          </w:r>
          <w:r>
            <w:fldChar w:fldCharType="separate"/>
          </w:r>
          <w:r>
            <w:t>12</w:t>
          </w:r>
          <w:r>
            <w:fldChar w:fldCharType="end"/>
          </w:r>
          <w:r>
            <w:fldChar w:fldCharType="end"/>
          </w:r>
        </w:p>
        <w:p w14:paraId="087FD846">
          <w:pPr>
            <w:pStyle w:val="13"/>
            <w:tabs>
              <w:tab w:val="right" w:leader="dot" w:pos="8306"/>
            </w:tabs>
          </w:pPr>
          <w:r>
            <w:fldChar w:fldCharType="begin"/>
          </w:r>
          <w:r>
            <w:instrText xml:space="preserve"> HYPERLINK \l "_Toc32686" </w:instrText>
          </w:r>
          <w:r>
            <w:fldChar w:fldCharType="separate"/>
          </w:r>
          <w:r>
            <w:rPr>
              <w:rFonts w:hint="eastAsia"/>
            </w:rPr>
            <w:t>6 与国际、国外同类标准水平的对比情况</w:t>
          </w:r>
          <w:r>
            <w:tab/>
          </w:r>
          <w:r>
            <w:fldChar w:fldCharType="begin"/>
          </w:r>
          <w:r>
            <w:instrText xml:space="preserve"> PAGEREF _Toc32686 \h </w:instrText>
          </w:r>
          <w:r>
            <w:fldChar w:fldCharType="separate"/>
          </w:r>
          <w:r>
            <w:t>13</w:t>
          </w:r>
          <w:r>
            <w:fldChar w:fldCharType="end"/>
          </w:r>
          <w:r>
            <w:fldChar w:fldCharType="end"/>
          </w:r>
        </w:p>
        <w:p w14:paraId="004652B9">
          <w:pPr>
            <w:pStyle w:val="13"/>
            <w:tabs>
              <w:tab w:val="right" w:leader="dot" w:pos="8306"/>
            </w:tabs>
          </w:pPr>
          <w:r>
            <w:fldChar w:fldCharType="begin"/>
          </w:r>
          <w:r>
            <w:instrText xml:space="preserve"> HYPERLINK \l "_Toc27691" </w:instrText>
          </w:r>
          <w:r>
            <w:fldChar w:fldCharType="separate"/>
          </w:r>
          <w:r>
            <w:rPr>
              <w:rFonts w:hint="eastAsia"/>
            </w:rPr>
            <w:t>7 与现行法律、法规和强制性标准的关系</w:t>
          </w:r>
          <w:r>
            <w:tab/>
          </w:r>
          <w:r>
            <w:fldChar w:fldCharType="begin"/>
          </w:r>
          <w:r>
            <w:instrText xml:space="preserve"> PAGEREF _Toc27691 \h </w:instrText>
          </w:r>
          <w:r>
            <w:fldChar w:fldCharType="separate"/>
          </w:r>
          <w:r>
            <w:t>13</w:t>
          </w:r>
          <w:r>
            <w:fldChar w:fldCharType="end"/>
          </w:r>
          <w:r>
            <w:fldChar w:fldCharType="end"/>
          </w:r>
        </w:p>
        <w:p w14:paraId="5F54B34B">
          <w:pPr>
            <w:pStyle w:val="13"/>
            <w:tabs>
              <w:tab w:val="right" w:leader="dot" w:pos="8306"/>
            </w:tabs>
          </w:pPr>
          <w:r>
            <w:fldChar w:fldCharType="begin"/>
          </w:r>
          <w:r>
            <w:instrText xml:space="preserve"> HYPERLINK \l "_Toc30778" </w:instrText>
          </w:r>
          <w:r>
            <w:fldChar w:fldCharType="separate"/>
          </w:r>
          <w:r>
            <w:rPr>
              <w:rFonts w:hint="eastAsia"/>
            </w:rPr>
            <w:t>8 重大分歧意见的处理</w:t>
          </w:r>
          <w:r>
            <w:tab/>
          </w:r>
          <w:r>
            <w:fldChar w:fldCharType="begin"/>
          </w:r>
          <w:r>
            <w:instrText xml:space="preserve"> PAGEREF _Toc30778 \h </w:instrText>
          </w:r>
          <w:r>
            <w:fldChar w:fldCharType="separate"/>
          </w:r>
          <w:r>
            <w:t>13</w:t>
          </w:r>
          <w:r>
            <w:fldChar w:fldCharType="end"/>
          </w:r>
          <w:r>
            <w:fldChar w:fldCharType="end"/>
          </w:r>
        </w:p>
        <w:p w14:paraId="04659F6E">
          <w:pPr>
            <w:pStyle w:val="13"/>
            <w:tabs>
              <w:tab w:val="right" w:leader="dot" w:pos="8306"/>
            </w:tabs>
          </w:pPr>
          <w:r>
            <w:fldChar w:fldCharType="begin"/>
          </w:r>
          <w:r>
            <w:instrText xml:space="preserve"> HYPERLINK \l "_Toc3179" </w:instrText>
          </w:r>
          <w:r>
            <w:fldChar w:fldCharType="separate"/>
          </w:r>
          <w:r>
            <w:rPr>
              <w:rFonts w:hint="eastAsia"/>
            </w:rPr>
            <w:t>9 其他应予以说明的事项</w:t>
          </w:r>
          <w:r>
            <w:tab/>
          </w:r>
          <w:r>
            <w:fldChar w:fldCharType="begin"/>
          </w:r>
          <w:r>
            <w:instrText xml:space="preserve"> PAGEREF _Toc3179 \h </w:instrText>
          </w:r>
          <w:r>
            <w:fldChar w:fldCharType="separate"/>
          </w:r>
          <w:r>
            <w:t>13</w:t>
          </w:r>
          <w:r>
            <w:fldChar w:fldCharType="end"/>
          </w:r>
          <w:r>
            <w:fldChar w:fldCharType="end"/>
          </w:r>
        </w:p>
        <w:p w14:paraId="62E24EA1">
          <w:pPr>
            <w:snapToGrid w:val="0"/>
            <w:spacing w:line="360" w:lineRule="auto"/>
          </w:pPr>
          <w:r>
            <w:rPr>
              <w:rFonts w:ascii="Times New Roman" w:hAnsi="Times New Roman" w:eastAsia="宋体" w:cs="Times New Roman"/>
              <w:bCs/>
              <w:szCs w:val="24"/>
              <w:lang w:val="zh-CN"/>
            </w:rPr>
            <w:fldChar w:fldCharType="end"/>
          </w:r>
        </w:p>
      </w:sdtContent>
    </w:sdt>
    <w:p w14:paraId="31476C03">
      <w:pPr>
        <w:pStyle w:val="22"/>
        <w:ind w:firstLine="480"/>
        <w:sectPr>
          <w:footerReference r:id="rId4" w:type="default"/>
          <w:pgSz w:w="11906" w:h="16838"/>
          <w:pgMar w:top="1440" w:right="1800" w:bottom="1440" w:left="1800" w:header="851" w:footer="992" w:gutter="0"/>
          <w:pgNumType w:fmt="upperRoman" w:start="1"/>
          <w:cols w:space="425" w:num="1"/>
          <w:docGrid w:type="lines" w:linePitch="312" w:charSpace="0"/>
        </w:sectPr>
      </w:pPr>
    </w:p>
    <w:p w14:paraId="5B89C19C">
      <w:pPr>
        <w:pStyle w:val="2"/>
        <w:spacing w:before="156" w:after="156"/>
      </w:pPr>
      <w:bookmarkStart w:id="0" w:name="_Toc2141"/>
      <w:r>
        <w:rPr>
          <w:rFonts w:hint="eastAsia"/>
        </w:rPr>
        <w:t>项目背景</w:t>
      </w:r>
      <w:bookmarkEnd w:id="0"/>
    </w:p>
    <w:p w14:paraId="238C44FA">
      <w:pPr>
        <w:pStyle w:val="3"/>
        <w:spacing w:before="156" w:after="156"/>
      </w:pPr>
      <w:bookmarkStart w:id="1" w:name="_Toc32442"/>
      <w:r>
        <w:rPr>
          <w:rFonts w:hint="eastAsia"/>
        </w:rPr>
        <w:t>任务来源</w:t>
      </w:r>
      <w:bookmarkEnd w:id="1"/>
    </w:p>
    <w:p w14:paraId="4E28B602">
      <w:pPr>
        <w:pStyle w:val="22"/>
        <w:ind w:firstLine="480"/>
        <w:rPr>
          <w:rStyle w:val="23"/>
        </w:rPr>
      </w:pPr>
      <w:r>
        <w:rPr>
          <w:rStyle w:val="23"/>
          <w:rFonts w:hint="eastAsia"/>
        </w:rPr>
        <w:t>2021年7月，生态环境部印发了《关于开展重点行业建设项目碳排放环境影响评价试点的通知》（环办环评函〔2021〕346号）（以下简称《试点通知》）要求对电力、钢铁、建材、石化、化工和有色六大行业建设项目在广东等9个省（市、自治区）开展温室气体纳入环评的试点工作。其中，现代煤化工由于其工艺复杂、二氧化碳排放体量大等原因，其建设项目温室气体环评是国家试点的重点，按照要求，标准编制组在2022年开展了现代煤化工行业减污降碳路径研究，梳理了现代煤化工行业各种产品，包括煤制甲醇、煤制烯烃、煤制乙二醇、煤制油、煤制天然气等产品的碳排放基准、减污降碳措施等，以及上述产品煤制合成气工序碳排放基准以及减污降碳措施。按照《重点行业建设项目碳排放环境影响评价试点技术指南（试行）》中“在满足 HJ2.1、HJ2.2 和 HJ2.3 关于污染治理措施方案选择要求前提下，在环境影响报告书环境保护措施论证及可行性分析章节，开展基于碳排放量最小的废气和废水污染治理设施和预防措施的多方案比选”的要求，以及为落实《减污降碳协同增效实施方案》中“制定污染物与温室气体排放协同控制可行技术指南”相关要求提供技术支撑，标准编制组开展了污染治理措施协同性协同度研究，同时，由于现代煤化工行业具有污染物排放量大、布局分布相对集中等特点，选取了现代煤化工行业为例开展上述研究。</w:t>
      </w:r>
    </w:p>
    <w:p w14:paraId="1C3DDE36">
      <w:pPr>
        <w:pStyle w:val="3"/>
        <w:spacing w:before="156" w:after="156"/>
      </w:pPr>
      <w:bookmarkStart w:id="2" w:name="_Toc3591"/>
      <w:r>
        <w:rPr>
          <w:rFonts w:hint="eastAsia"/>
        </w:rPr>
        <w:t>主要工作过程</w:t>
      </w:r>
      <w:bookmarkEnd w:id="2"/>
    </w:p>
    <w:p w14:paraId="5F09C4D7">
      <w:pPr>
        <w:spacing w:line="540" w:lineRule="exact"/>
        <w:ind w:firstLine="480" w:firstLineChars="200"/>
        <w:jc w:val="left"/>
        <w:rPr>
          <w:rStyle w:val="23"/>
          <w:rFonts w:hint="eastAsia"/>
          <w:kern w:val="2"/>
          <w:lang w:val="en-US" w:eastAsia="zh-CN" w:bidi="ar-SA"/>
        </w:rPr>
      </w:pPr>
      <w:r>
        <w:rPr>
          <w:rStyle w:val="23"/>
          <w:rFonts w:hint="eastAsia"/>
          <w:kern w:val="2"/>
          <w:lang w:val="en-US" w:eastAsia="zh-CN" w:bidi="ar-SA"/>
        </w:rPr>
        <w:t>本标准由</w:t>
      </w:r>
      <w:r>
        <w:rPr>
          <w:rStyle w:val="23"/>
          <w:rFonts w:hint="eastAsia"/>
          <w:kern w:val="2"/>
          <w:lang w:val="en-US" w:eastAsia="zh-CN" w:bidi="ar-SA"/>
        </w:rPr>
        <w:t>中国化工节能技术协会</w:t>
      </w:r>
      <w:r>
        <w:rPr>
          <w:rStyle w:val="23"/>
          <w:rFonts w:hint="eastAsia"/>
          <w:kern w:val="2"/>
          <w:lang w:val="en-US" w:eastAsia="zh-CN" w:bidi="ar-SA"/>
        </w:rPr>
        <w:t>提出并组织制定，</w:t>
      </w:r>
      <w:r>
        <w:rPr>
          <w:rStyle w:val="23"/>
          <w:rFonts w:hint="eastAsia"/>
          <w:kern w:val="2"/>
          <w:lang w:val="en-US" w:eastAsia="zh-CN" w:bidi="ar-SA"/>
        </w:rPr>
        <w:t>由生态环境部环境工程评估中心等20家单位组织有关人员成立标准制定工作组</w:t>
      </w:r>
      <w:r>
        <w:rPr>
          <w:rStyle w:val="23"/>
          <w:rFonts w:hint="eastAsia"/>
          <w:kern w:val="2"/>
          <w:lang w:val="en-US" w:eastAsia="zh-CN" w:bidi="ar-SA"/>
        </w:rPr>
        <w:t>，本标准于202</w:t>
      </w:r>
      <w:r>
        <w:rPr>
          <w:rStyle w:val="23"/>
          <w:rFonts w:hint="eastAsia"/>
          <w:kern w:val="2"/>
          <w:lang w:val="en-US" w:eastAsia="zh-CN" w:bidi="ar-SA"/>
        </w:rPr>
        <w:t>3</w:t>
      </w:r>
      <w:r>
        <w:rPr>
          <w:rStyle w:val="23"/>
          <w:rFonts w:hint="eastAsia"/>
          <w:kern w:val="2"/>
          <w:lang w:val="en-US" w:eastAsia="zh-CN" w:bidi="ar-SA"/>
        </w:rPr>
        <w:t>年</w:t>
      </w:r>
      <w:r>
        <w:rPr>
          <w:rStyle w:val="23"/>
          <w:rFonts w:hint="eastAsia"/>
          <w:kern w:val="2"/>
          <w:lang w:val="en-US" w:eastAsia="zh-CN" w:bidi="ar-SA"/>
        </w:rPr>
        <w:t>4</w:t>
      </w:r>
      <w:r>
        <w:rPr>
          <w:rStyle w:val="23"/>
          <w:rFonts w:hint="eastAsia"/>
          <w:kern w:val="2"/>
          <w:lang w:val="en-US" w:eastAsia="zh-CN" w:bidi="ar-SA"/>
        </w:rPr>
        <w:t>月启动编制。</w:t>
      </w:r>
    </w:p>
    <w:p w14:paraId="6E40BD65">
      <w:pPr>
        <w:pStyle w:val="22"/>
        <w:ind w:firstLine="480"/>
      </w:pPr>
      <w:r>
        <w:rPr>
          <w:rFonts w:hint="eastAsia"/>
        </w:rPr>
        <w:t>主要的工作过程如下：</w:t>
      </w:r>
    </w:p>
    <w:p w14:paraId="2864F438">
      <w:pPr>
        <w:pStyle w:val="22"/>
        <w:numPr>
          <w:ilvl w:val="0"/>
          <w:numId w:val="2"/>
        </w:numPr>
        <w:ind w:firstLineChars="0"/>
      </w:pPr>
      <w:r>
        <w:rPr>
          <w:rFonts w:hint="eastAsia"/>
        </w:rPr>
        <w:t>煤化工减污降碳指标体系调研</w:t>
      </w:r>
    </w:p>
    <w:p w14:paraId="4CD56D43">
      <w:pPr>
        <w:pStyle w:val="22"/>
        <w:ind w:firstLine="480"/>
      </w:pPr>
      <w:r>
        <w:rPr>
          <w:rStyle w:val="23"/>
        </w:rPr>
        <w:t>202</w:t>
      </w:r>
      <w:r>
        <w:rPr>
          <w:rStyle w:val="23"/>
          <w:rFonts w:hint="eastAsia"/>
        </w:rPr>
        <w:t>3年4月</w:t>
      </w:r>
      <w:r>
        <w:rPr>
          <w:rStyle w:val="23"/>
        </w:rPr>
        <w:t>~202</w:t>
      </w:r>
      <w:r>
        <w:rPr>
          <w:rStyle w:val="23"/>
          <w:rFonts w:hint="eastAsia"/>
        </w:rPr>
        <w:t>3年7月，调研收集了煤化工项目可研报告及文献资料，对煤化</w:t>
      </w:r>
      <w:r>
        <w:rPr>
          <w:rFonts w:hint="eastAsia"/>
        </w:rPr>
        <w:t>工项目污染治理措施碳排放水平进行了调查研究，形成了污染治理措施碳排放水平调查表初稿。</w:t>
      </w:r>
    </w:p>
    <w:p w14:paraId="1EBF4935">
      <w:pPr>
        <w:pStyle w:val="22"/>
        <w:ind w:firstLine="480"/>
        <w:rPr>
          <w:rStyle w:val="23"/>
        </w:rPr>
      </w:pPr>
      <w:r>
        <w:rPr>
          <w:rFonts w:hint="eastAsia"/>
        </w:rPr>
        <w:t>2</w:t>
      </w:r>
      <w:r>
        <w:t>02</w:t>
      </w:r>
      <w:r>
        <w:rPr>
          <w:rFonts w:hint="eastAsia"/>
        </w:rPr>
        <w:t>3年9月8日，召开了现代煤化工行业污染治理措施碳排放水平基准的开题论证。</w:t>
      </w:r>
    </w:p>
    <w:p w14:paraId="64FE3166">
      <w:pPr>
        <w:pStyle w:val="22"/>
        <w:ind w:firstLine="480"/>
      </w:pPr>
      <w:r>
        <w:rPr>
          <w:rStyle w:val="23"/>
          <w:rFonts w:hint="eastAsia"/>
        </w:rPr>
        <w:t>2</w:t>
      </w:r>
      <w:r>
        <w:rPr>
          <w:rStyle w:val="23"/>
        </w:rPr>
        <w:t>02</w:t>
      </w:r>
      <w:r>
        <w:rPr>
          <w:rStyle w:val="23"/>
          <w:rFonts w:hint="eastAsia"/>
        </w:rPr>
        <w:t>3年7月</w:t>
      </w:r>
      <w:r>
        <w:rPr>
          <w:rStyle w:val="23"/>
        </w:rPr>
        <w:t>~202</w:t>
      </w:r>
      <w:r>
        <w:rPr>
          <w:rStyle w:val="23"/>
          <w:rFonts w:hint="eastAsia"/>
        </w:rPr>
        <w:t>3年10月，调研了内蒙古、陕西、新疆、宁夏和4个省约31家现代煤化工企业。</w:t>
      </w:r>
    </w:p>
    <w:p w14:paraId="627A2AAF">
      <w:pPr>
        <w:pStyle w:val="22"/>
        <w:numPr>
          <w:ilvl w:val="0"/>
          <w:numId w:val="2"/>
        </w:numPr>
        <w:ind w:firstLineChars="0"/>
      </w:pPr>
      <w:r>
        <w:rPr>
          <w:rFonts w:hint="eastAsia"/>
        </w:rPr>
        <w:t>标准草案的编制与讨论</w:t>
      </w:r>
    </w:p>
    <w:p w14:paraId="472395BA">
      <w:pPr>
        <w:pStyle w:val="22"/>
        <w:ind w:firstLine="480"/>
        <w:rPr>
          <w:rStyle w:val="23"/>
        </w:rPr>
      </w:pPr>
      <w:r>
        <w:rPr>
          <w:rStyle w:val="23"/>
          <w:rFonts w:hint="eastAsia"/>
        </w:rPr>
        <w:t>2</w:t>
      </w:r>
      <w:r>
        <w:rPr>
          <w:rStyle w:val="23"/>
        </w:rPr>
        <w:t>02</w:t>
      </w:r>
      <w:r>
        <w:rPr>
          <w:rStyle w:val="23"/>
          <w:rFonts w:hint="eastAsia"/>
        </w:rPr>
        <w:t>3</w:t>
      </w:r>
      <w:r>
        <w:rPr>
          <w:rStyle w:val="23"/>
        </w:rPr>
        <w:t>年</w:t>
      </w:r>
      <w:r>
        <w:rPr>
          <w:rStyle w:val="23"/>
          <w:rFonts w:hint="eastAsia"/>
        </w:rPr>
        <w:t>11</w:t>
      </w:r>
      <w:r>
        <w:rPr>
          <w:rStyle w:val="23"/>
        </w:rPr>
        <w:t>月~202</w:t>
      </w:r>
      <w:r>
        <w:rPr>
          <w:rStyle w:val="23"/>
          <w:rFonts w:hint="eastAsia"/>
        </w:rPr>
        <w:t>4年8月，工作组根据前期调研和资料分析，</w:t>
      </w:r>
      <w:r>
        <w:rPr>
          <w:rFonts w:hint="eastAsia" w:ascii="宋体" w:hAnsi="宋体"/>
          <w:szCs w:val="21"/>
        </w:rPr>
        <w:t>了解产业的发展现状和需求。经标准编制工作组的充分调研和反复讨论，</w:t>
      </w:r>
      <w:r>
        <w:rPr>
          <w:rStyle w:val="23"/>
          <w:rFonts w:hint="eastAsia"/>
        </w:rPr>
        <w:t>初步完成了标准草案的编制。</w:t>
      </w:r>
      <w:r>
        <w:rPr>
          <w:rFonts w:hint="eastAsia" w:ascii="宋体" w:hAnsi="宋体"/>
          <w:szCs w:val="21"/>
        </w:rPr>
        <w:t>标准编制工作组</w:t>
      </w:r>
      <w:r>
        <w:rPr>
          <w:rStyle w:val="23"/>
          <w:rFonts w:hint="eastAsia"/>
        </w:rPr>
        <w:t>邀请相关专家对标准草案进行讨论并进行修改完善工作，形成标准征求意见稿初稿。</w:t>
      </w:r>
    </w:p>
    <w:p w14:paraId="60A12FA7">
      <w:pPr>
        <w:pStyle w:val="22"/>
        <w:numPr>
          <w:ilvl w:val="0"/>
          <w:numId w:val="2"/>
        </w:numPr>
        <w:ind w:firstLineChars="0"/>
        <w:rPr>
          <w:rStyle w:val="23"/>
        </w:rPr>
      </w:pPr>
      <w:r>
        <w:rPr>
          <w:rFonts w:hint="eastAsia"/>
        </w:rPr>
        <w:t>标准</w:t>
      </w:r>
      <w:r>
        <w:rPr>
          <w:rStyle w:val="23"/>
          <w:rFonts w:hint="eastAsia"/>
        </w:rPr>
        <w:t>征求意见稿审查会</w:t>
      </w:r>
    </w:p>
    <w:p w14:paraId="74285FE2">
      <w:pPr>
        <w:pStyle w:val="22"/>
        <w:ind w:firstLine="480"/>
      </w:pPr>
      <w:r>
        <w:rPr>
          <w:rFonts w:hint="eastAsia"/>
        </w:rPr>
        <w:t>2</w:t>
      </w:r>
      <w:r>
        <w:t>0</w:t>
      </w:r>
      <w:r>
        <w:rPr>
          <w:rFonts w:hint="eastAsia"/>
        </w:rPr>
        <w:t>24年11月8日，邀请行业专家召开标准征求意见稿审查会，并通过评审。</w:t>
      </w:r>
    </w:p>
    <w:p w14:paraId="466A8BD7">
      <w:pPr>
        <w:pStyle w:val="2"/>
        <w:spacing w:before="156" w:after="156"/>
      </w:pPr>
      <w:bookmarkStart w:id="3" w:name="_Toc10404"/>
      <w:r>
        <w:rPr>
          <w:rFonts w:hint="eastAsia"/>
        </w:rPr>
        <w:t>标准制定的必要性和意义</w:t>
      </w:r>
      <w:bookmarkEnd w:id="3"/>
    </w:p>
    <w:p w14:paraId="3068DDEE">
      <w:pPr>
        <w:pStyle w:val="22"/>
        <w:ind w:firstLine="480"/>
      </w:pPr>
      <w:r>
        <w:t>现代煤化工产业作为近年发展起来的新型化工产业，对保障国家能源安全有重要作用，是煤炭清洁高效利用的途径之一，但其</w:t>
      </w:r>
      <w:r>
        <w:rPr>
          <w:rFonts w:hint="eastAsia"/>
        </w:rPr>
        <w:t>污染物和二氧化碳排放“双高”，</w:t>
      </w:r>
      <w:r>
        <w:t>压力大</w:t>
      </w:r>
      <w:r>
        <w:rPr>
          <w:rFonts w:hint="eastAsia"/>
        </w:rPr>
        <w:t>，污染治理措施碳排放贡献亦不可忽视</w:t>
      </w:r>
      <w:r>
        <w:t>。</w:t>
      </w:r>
    </w:p>
    <w:p w14:paraId="365649E7">
      <w:pPr>
        <w:pStyle w:val="22"/>
        <w:ind w:firstLine="480"/>
      </w:pPr>
      <w:r>
        <w:t>标准是经济活动和社会发展的重要支撑，做好碳核算和减污降碳排放标准的研制工作，</w:t>
      </w:r>
      <w:r>
        <w:rPr>
          <w:b/>
          <w:bCs/>
          <w:shd w:val="clear" w:color="auto" w:fill="FFFFFF"/>
        </w:rPr>
        <w:t>突出标准引领作用，</w:t>
      </w:r>
      <w:r>
        <w:rPr>
          <w:b/>
          <w:bCs/>
        </w:rPr>
        <w:t>充分发挥碳排放标准系统协调与整体推进作用，能够有效推动我国低碳发展</w:t>
      </w:r>
      <w:r>
        <w:t>。现代煤化工行业作为高</w:t>
      </w:r>
      <w:r>
        <w:rPr>
          <w:rFonts w:hint="eastAsia"/>
        </w:rPr>
        <w:t>污染物和</w:t>
      </w:r>
      <w:r>
        <w:t>CO</w:t>
      </w:r>
      <w:r>
        <w:rPr>
          <w:vertAlign w:val="subscript"/>
        </w:rPr>
        <w:t>2</w:t>
      </w:r>
      <w:r>
        <w:t>排放行业，更应该贯彻落实《中共中央 国务院关于完整准确全面贯彻新发展理念做好碳达峰碳中和工作的意见》</w:t>
      </w:r>
      <w:r>
        <w:rPr>
          <w:rFonts w:hint="eastAsia"/>
        </w:rPr>
        <w:t>和《关于开展重点行业建设项目碳排放环境影响评价试点的通知》的（环办环评函〔2021〕346号）</w:t>
      </w:r>
      <w:r>
        <w:t>要求，积极开展碳排放标准制订工作，有效遏制“两高”项目盲目发展，</w:t>
      </w:r>
      <w:r>
        <w:rPr>
          <w:rFonts w:hint="eastAsia"/>
        </w:rPr>
        <w:t>支撑现代煤化工企业或项目的污染治理措施协同控碳方案的比选，</w:t>
      </w:r>
      <w:r>
        <w:t>推动现代煤化工行业绿色低碳转型、引领推进高质量发展，确保如期实现碳达峰目标。</w:t>
      </w:r>
    </w:p>
    <w:p w14:paraId="0C0EE58A">
      <w:pPr>
        <w:pStyle w:val="22"/>
        <w:ind w:firstLine="480"/>
        <w:rPr>
          <w:shd w:val="clear" w:color="auto" w:fill="FFFFFF"/>
        </w:rPr>
      </w:pPr>
      <w:r>
        <w:rPr>
          <w:shd w:val="clear" w:color="auto" w:fill="FFFFFF"/>
        </w:rPr>
        <w:t>本文件给出了</w:t>
      </w:r>
      <w:r>
        <w:rPr>
          <w:rFonts w:hint="eastAsia"/>
          <w:shd w:val="clear" w:color="auto" w:fill="FFFFFF"/>
        </w:rPr>
        <w:t>三类典型现代煤化工行业污染治理措施的碳排放水平基准，包括不同煤气化类型煤制合成气工序单位产品（有效合成气，CO+H</w:t>
      </w:r>
      <w:r>
        <w:rPr>
          <w:rFonts w:hint="eastAsia"/>
          <w:shd w:val="clear" w:color="auto" w:fill="FFFFFF"/>
          <w:vertAlign w:val="subscript"/>
        </w:rPr>
        <w:t>2</w:t>
      </w:r>
      <w:r>
        <w:rPr>
          <w:rFonts w:hint="eastAsia"/>
          <w:shd w:val="clear" w:color="auto" w:fill="FFFFFF"/>
        </w:rPr>
        <w:t>）低温甲醇洗直接碳排放水平基准、低温甲醇洗尾气单位非甲烷总烃去除量碳排放水平基准、浓盐水处理系统单位浓盐水处理量碳排放水平基准。其中水煤浆气化-废锅流程煤制合成气工序单位产品（有效合成气，CO+H</w:t>
      </w:r>
      <w:r>
        <w:rPr>
          <w:rFonts w:hint="eastAsia"/>
          <w:shd w:val="clear" w:color="auto" w:fill="FFFFFF"/>
          <w:vertAlign w:val="subscript"/>
        </w:rPr>
        <w:t>2</w:t>
      </w:r>
      <w:r>
        <w:rPr>
          <w:rFonts w:hint="eastAsia"/>
          <w:shd w:val="clear" w:color="auto" w:fill="FFFFFF"/>
        </w:rPr>
        <w:t>）低温甲醇洗直接碳排放水平基准为50%分位值，不分级；其他煤气化类型煤制合成气工序单位产品（有效合成气，CO+H</w:t>
      </w:r>
      <w:r>
        <w:rPr>
          <w:rFonts w:hint="eastAsia"/>
          <w:shd w:val="clear" w:color="auto" w:fill="FFFFFF"/>
          <w:vertAlign w:val="subscript"/>
        </w:rPr>
        <w:t>2</w:t>
      </w:r>
      <w:r>
        <w:rPr>
          <w:rFonts w:hint="eastAsia"/>
          <w:shd w:val="clear" w:color="auto" w:fill="FFFFFF"/>
        </w:rPr>
        <w:t>）低温甲醇洗直接碳排放水平基准，低温甲醇洗尾气单位非甲烷总烃去除量碳排放水平基准和浓盐水处理系统单位浓盐水处理量碳排放水平基准分为两级，1级基准为2</w:t>
      </w:r>
      <w:r>
        <w:rPr>
          <w:shd w:val="clear" w:color="auto" w:fill="FFFFFF"/>
        </w:rPr>
        <w:t>0%</w:t>
      </w:r>
      <w:r>
        <w:rPr>
          <w:rFonts w:hint="eastAsia"/>
          <w:shd w:val="clear" w:color="auto" w:fill="FFFFFF"/>
        </w:rPr>
        <w:t>分位值，2级基准为5</w:t>
      </w:r>
      <w:r>
        <w:rPr>
          <w:shd w:val="clear" w:color="auto" w:fill="FFFFFF"/>
        </w:rPr>
        <w:t>0%</w:t>
      </w:r>
      <w:r>
        <w:rPr>
          <w:rFonts w:hint="eastAsia"/>
          <w:shd w:val="clear" w:color="auto" w:fill="FFFFFF"/>
        </w:rPr>
        <w:t>分位值。</w:t>
      </w:r>
    </w:p>
    <w:p w14:paraId="7138772A">
      <w:pPr>
        <w:pStyle w:val="22"/>
        <w:ind w:firstLine="480"/>
        <w:rPr>
          <w:b/>
          <w:bCs/>
          <w:shd w:val="clear" w:color="auto" w:fill="FFFFFF"/>
        </w:rPr>
      </w:pPr>
      <w:r>
        <w:rPr>
          <w:shd w:val="clear" w:color="auto" w:fill="FFFFFF"/>
        </w:rPr>
        <w:t>对拟建、在建项目，</w:t>
      </w:r>
      <w:r>
        <w:rPr>
          <w:rFonts w:hint="eastAsia"/>
          <w:shd w:val="clear" w:color="auto" w:fill="FFFFFF"/>
        </w:rPr>
        <w:t>建议依据污染治理措施碳排放水平基准，综合考虑项目投资、能耗及污染物治理要求，合理选择工艺路线及污染治理措施，实现减污降碳协同增效；对已建项目，可核算现有污染治理措施碳排放水平，对照污染治理措施碳排放水平基准对现有污染治理措施进行提标升级改造，精准发力绿色转型</w:t>
      </w:r>
      <w:r>
        <w:rPr>
          <w:shd w:val="clear" w:color="auto" w:fill="FFFFFF"/>
        </w:rPr>
        <w:t>。</w:t>
      </w:r>
      <w:r>
        <w:rPr>
          <w:rFonts w:hint="eastAsia"/>
          <w:b/>
          <w:bCs/>
          <w:shd w:val="clear" w:color="auto" w:fill="FFFFFF"/>
        </w:rPr>
        <w:t>本文件将视行业发展和</w:t>
      </w:r>
      <w:bookmarkStart w:id="4" w:name="_Hlk121154667"/>
      <w:r>
        <w:rPr>
          <w:rFonts w:hint="eastAsia"/>
          <w:b/>
          <w:bCs/>
          <w:shd w:val="clear" w:color="auto" w:fill="FFFFFF"/>
        </w:rPr>
        <w:t>标准制修订情况</w:t>
      </w:r>
      <w:bookmarkEnd w:id="4"/>
      <w:r>
        <w:rPr>
          <w:rFonts w:hint="eastAsia"/>
          <w:b/>
          <w:bCs/>
          <w:shd w:val="clear" w:color="auto" w:fill="FFFFFF"/>
        </w:rPr>
        <w:t>进行补充完善和动态调整。</w:t>
      </w:r>
    </w:p>
    <w:p w14:paraId="3CF0F68A">
      <w:pPr>
        <w:pStyle w:val="2"/>
        <w:spacing w:before="156" w:after="156"/>
      </w:pPr>
      <w:bookmarkStart w:id="5" w:name="_Toc24627"/>
      <w:r>
        <w:rPr>
          <w:rFonts w:hint="eastAsia"/>
        </w:rPr>
        <w:t>行业概况</w:t>
      </w:r>
      <w:bookmarkEnd w:id="5"/>
    </w:p>
    <w:p w14:paraId="4820760D">
      <w:pPr>
        <w:pStyle w:val="3"/>
        <w:spacing w:before="156" w:after="156"/>
      </w:pPr>
      <w:bookmarkStart w:id="6" w:name="_Toc16516"/>
      <w:r>
        <w:rPr>
          <w:rFonts w:hint="eastAsia"/>
        </w:rPr>
        <w:t>现代煤化工发展现状</w:t>
      </w:r>
      <w:bookmarkEnd w:id="6"/>
    </w:p>
    <w:p w14:paraId="7A3EA916">
      <w:pPr>
        <w:pStyle w:val="22"/>
        <w:spacing w:after="156"/>
        <w:ind w:firstLine="480"/>
        <w:rPr>
          <w:highlight w:val="none"/>
        </w:rPr>
      </w:pPr>
      <w:r>
        <w:rPr>
          <w:rFonts w:hint="eastAsia"/>
          <w:i w:val="0"/>
          <w:highlight w:val="none"/>
        </w:rPr>
        <w:t>煤化工是以煤炭为主要原料生产化工产品的行业。根据生产工艺与产品的不同，主要分为煤焦化、煤气化和煤液化三条产品链，其产品链情况见</w:t>
      </w:r>
      <w:r>
        <w:rPr>
          <w:i w:val="0"/>
          <w:highlight w:val="none"/>
        </w:rPr>
        <w:fldChar w:fldCharType="begin"/>
      </w:r>
      <w:r>
        <w:rPr>
          <w:i w:val="0"/>
          <w:highlight w:val="none"/>
        </w:rPr>
        <w:instrText xml:space="preserve">REF _Ref116312800 \h</w:instrText>
      </w:r>
      <w:r>
        <w:rPr>
          <w:i w:val="0"/>
          <w:highlight w:val="none"/>
        </w:rPr>
        <w:fldChar w:fldCharType="separate"/>
      </w:r>
      <w:r>
        <w:rPr>
          <w:rFonts w:hint="eastAsia"/>
          <w:i w:val="0"/>
          <w:highlight w:val="none"/>
        </w:rPr>
        <w:t>图</w:t>
      </w:r>
      <w:r>
        <w:rPr>
          <w:i w:val="0"/>
          <w:highlight w:val="none"/>
        </w:rPr>
        <w:t xml:space="preserve"> 1</w:t>
      </w:r>
      <w:r>
        <w:rPr>
          <w:i w:val="0"/>
          <w:highlight w:val="none"/>
        </w:rPr>
        <w:fldChar w:fldCharType="end"/>
      </w:r>
      <w:r>
        <w:rPr>
          <w:rFonts w:hint="eastAsia"/>
          <w:i w:val="0"/>
          <w:highlight w:val="none"/>
        </w:rPr>
        <w:t>。</w:t>
      </w:r>
    </w:p>
    <w:p w14:paraId="0EE3EDC5">
      <w:pPr>
        <w:pStyle w:val="22"/>
        <w:spacing w:after="156"/>
        <w:ind w:firstLine="482"/>
        <w:rPr>
          <w:b/>
          <w:bCs/>
          <w:highlight w:val="none"/>
        </w:rPr>
      </w:pPr>
      <w:r>
        <w:rPr>
          <w:rFonts w:hint="eastAsia"/>
          <w:b/>
          <w:bCs/>
          <w:i w:val="0"/>
          <w:highlight w:val="none"/>
        </w:rPr>
        <w:t>现代煤化工是指以煤为原料，采用新型、先进的化学加工技术，使煤转化为气体、液体或中间产品的过程，主要包括以煤气化、液化为龙头生产合成天然气、合成油、化工产品等能源化工产业。</w:t>
      </w:r>
    </w:p>
    <w:p w14:paraId="7DA67CBC">
      <w:pPr>
        <w:pStyle w:val="22"/>
        <w:ind w:firstLine="0" w:firstLineChars="0"/>
        <w:rPr>
          <w:highlight w:val="none"/>
        </w:rPr>
      </w:pPr>
      <w:r>
        <w:object>
          <v:shape id="_x0000_i1025" o:spt="75" type="#_x0000_t75" style="height:375pt;width:417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0E653CF7">
      <w:pPr>
        <w:pStyle w:val="27"/>
        <w:spacing w:before="156"/>
        <w:rPr>
          <w:color w:val="FF0000"/>
          <w:highlight w:val="none"/>
        </w:rPr>
      </w:pPr>
      <w:bookmarkStart w:id="7" w:name="_Ref116312800"/>
      <w:r>
        <w:rPr>
          <w:rFonts w:hint="eastAsia"/>
          <w:i w:val="0"/>
          <w:highlight w:val="none"/>
        </w:rPr>
        <w:t>图</w:t>
      </w:r>
      <w:r>
        <w:rPr>
          <w:i w:val="0"/>
          <w:highlight w:val="none"/>
        </w:rPr>
        <w:t xml:space="preserve"> </w:t>
      </w:r>
      <w:r>
        <w:rPr>
          <w:i w:val="0"/>
          <w:highlight w:val="none"/>
        </w:rPr>
        <w:fldChar w:fldCharType="begin"/>
      </w:r>
      <w:r>
        <w:rPr>
          <w:i w:val="0"/>
          <w:highlight w:val="none"/>
        </w:rPr>
        <w:instrText xml:space="preserve">SEQ </w:instrText>
      </w:r>
      <w:r>
        <w:rPr>
          <w:rFonts w:hint="eastAsia"/>
          <w:i w:val="0"/>
          <w:highlight w:val="none"/>
        </w:rPr>
        <w:instrText xml:space="preserve">图</w:instrText>
      </w:r>
      <w:r>
        <w:rPr>
          <w:i w:val="0"/>
          <w:highlight w:val="none"/>
        </w:rPr>
        <w:instrText xml:space="preserve"> \* ARABIC</w:instrText>
      </w:r>
      <w:r>
        <w:rPr>
          <w:i w:val="0"/>
          <w:highlight w:val="none"/>
        </w:rPr>
        <w:fldChar w:fldCharType="separate"/>
      </w:r>
      <w:r>
        <w:rPr>
          <w:i w:val="0"/>
          <w:highlight w:val="none"/>
        </w:rPr>
        <w:t>1</w:t>
      </w:r>
      <w:r>
        <w:rPr>
          <w:i w:val="0"/>
          <w:highlight w:val="none"/>
        </w:rPr>
        <w:fldChar w:fldCharType="end"/>
      </w:r>
      <w:bookmarkEnd w:id="7"/>
      <w:r>
        <w:rPr>
          <w:rFonts w:hint="eastAsia"/>
          <w:i w:val="0"/>
          <w:highlight w:val="none"/>
        </w:rPr>
        <w:t>煤化工产品链</w:t>
      </w:r>
    </w:p>
    <w:p w14:paraId="17DB54E0">
      <w:pPr>
        <w:spacing w:line="610" w:lineRule="exact"/>
        <w:ind w:firstLine="640"/>
        <w:rPr>
          <w:rFonts w:cs="仿宋_GB2312"/>
          <w:szCs w:val="32"/>
        </w:rPr>
      </w:pPr>
      <w:r>
        <w:rPr>
          <w:rFonts w:hint="eastAsia" w:ascii="Times New Roman" w:hAnsi="Times New Roman" w:eastAsia="宋体" w:cs="宋体"/>
          <w:i w:val="0"/>
          <w:sz w:val="24"/>
          <w:szCs w:val="20"/>
          <w:shd w:val="clear" w:color="auto" w:fill="FFFFFF"/>
        </w:rPr>
        <w:t>截至</w:t>
      </w:r>
      <w:r>
        <w:rPr>
          <w:rFonts w:ascii="Times New Roman" w:hAnsi="Times New Roman" w:eastAsia="宋体" w:cs="宋体"/>
          <w:i w:val="0"/>
          <w:sz w:val="24"/>
          <w:szCs w:val="20"/>
          <w:shd w:val="clear" w:color="auto" w:fill="FFFFFF"/>
        </w:rPr>
        <w:t>2022年底，国内煤基烯烃产能1825.2万吨/年，共涉30家企业法人单位；其中以煤为原料采用煤炭加压气化等工艺的煤经甲醇制烯烃企业16家，烯烃产能1145.5万吨/年，以外购甲醇为原料经甲醇制烯烃工艺生产烯烃产品的企业14家，产能679.7万吨/年；2022年我国新增投产甲醇制烯烃企业3家，新增烯烃产能116万吨/年。</w:t>
      </w:r>
    </w:p>
    <w:p w14:paraId="752B3CB5">
      <w:pPr>
        <w:pStyle w:val="22"/>
        <w:ind w:firstLine="480"/>
        <w:rPr>
          <w:highlight w:val="none"/>
          <w:shd w:val="clear" w:color="auto" w:fill="FFFFFF"/>
        </w:rPr>
      </w:pPr>
      <w:r>
        <w:rPr>
          <w:rFonts w:hint="eastAsia"/>
          <w:i w:val="0"/>
          <w:highlight w:val="none"/>
          <w:shd w:val="clear" w:color="auto" w:fill="FFFFFF"/>
        </w:rPr>
        <w:t>根据《煤炭工业“十四五”现代煤化工发展指导意见》：到“十四五”末，建成煤制油产能</w:t>
      </w:r>
      <w:r>
        <w:rPr>
          <w:i w:val="0"/>
          <w:highlight w:val="none"/>
          <w:shd w:val="clear" w:color="auto" w:fill="FFFFFF"/>
        </w:rPr>
        <w:t>1200</w:t>
      </w:r>
      <w:r>
        <w:rPr>
          <w:rFonts w:hint="eastAsia"/>
          <w:i w:val="0"/>
          <w:highlight w:val="none"/>
          <w:shd w:val="clear" w:color="auto" w:fill="FFFFFF"/>
        </w:rPr>
        <w:t>万吨，煤制气产能</w:t>
      </w:r>
      <w:r>
        <w:rPr>
          <w:i w:val="0"/>
          <w:highlight w:val="none"/>
          <w:shd w:val="clear" w:color="auto" w:fill="FFFFFF"/>
        </w:rPr>
        <w:t>150</w:t>
      </w:r>
      <w:r>
        <w:rPr>
          <w:rFonts w:hint="eastAsia"/>
          <w:i w:val="0"/>
          <w:highlight w:val="none"/>
          <w:shd w:val="clear" w:color="auto" w:fill="FFFFFF"/>
        </w:rPr>
        <w:t>亿立方米，煤制烯烃产能</w:t>
      </w:r>
      <w:r>
        <w:rPr>
          <w:i w:val="0"/>
          <w:highlight w:val="none"/>
          <w:shd w:val="clear" w:color="auto" w:fill="FFFFFF"/>
        </w:rPr>
        <w:t>1500</w:t>
      </w:r>
      <w:r>
        <w:rPr>
          <w:rFonts w:hint="eastAsia"/>
          <w:i w:val="0"/>
          <w:highlight w:val="none"/>
          <w:shd w:val="clear" w:color="auto" w:fill="FFFFFF"/>
        </w:rPr>
        <w:t>万吨，煤制乙二醇产能</w:t>
      </w:r>
      <w:r>
        <w:rPr>
          <w:i w:val="0"/>
          <w:highlight w:val="none"/>
          <w:shd w:val="clear" w:color="auto" w:fill="FFFFFF"/>
        </w:rPr>
        <w:t>800</w:t>
      </w:r>
      <w:r>
        <w:rPr>
          <w:rFonts w:hint="eastAsia"/>
          <w:i w:val="0"/>
          <w:highlight w:val="none"/>
          <w:shd w:val="clear" w:color="auto" w:fill="FFFFFF"/>
        </w:rPr>
        <w:t>万吨，转化煤量达到</w:t>
      </w:r>
      <w:r>
        <w:rPr>
          <w:i w:val="0"/>
          <w:highlight w:val="none"/>
          <w:shd w:val="clear" w:color="auto" w:fill="FFFFFF"/>
        </w:rPr>
        <w:t>1.6</w:t>
      </w:r>
      <w:r>
        <w:rPr>
          <w:rFonts w:hint="eastAsia"/>
          <w:i w:val="0"/>
          <w:highlight w:val="none"/>
          <w:shd w:val="clear" w:color="auto" w:fill="FFFFFF"/>
        </w:rPr>
        <w:t>亿吨标煤左右。“十四五”末较“十三五”末增加煤制油约</w:t>
      </w:r>
      <w:r>
        <w:rPr>
          <w:i w:val="0"/>
          <w:highlight w:val="none"/>
          <w:shd w:val="clear" w:color="auto" w:fill="FFFFFF"/>
        </w:rPr>
        <w:t>270</w:t>
      </w:r>
      <w:r>
        <w:rPr>
          <w:rFonts w:hint="eastAsia"/>
          <w:i w:val="0"/>
          <w:highlight w:val="none"/>
          <w:shd w:val="clear" w:color="auto" w:fill="FFFFFF"/>
        </w:rPr>
        <w:t>万吨、煤制气约</w:t>
      </w:r>
      <w:r>
        <w:rPr>
          <w:i w:val="0"/>
          <w:highlight w:val="none"/>
          <w:shd w:val="clear" w:color="auto" w:fill="FFFFFF"/>
        </w:rPr>
        <w:t>100</w:t>
      </w:r>
      <w:r>
        <w:rPr>
          <w:rFonts w:hint="eastAsia"/>
          <w:i w:val="0"/>
          <w:highlight w:val="none"/>
          <w:shd w:val="clear" w:color="auto" w:fill="FFFFFF"/>
        </w:rPr>
        <w:t>亿立方米、煤制乙二醇约</w:t>
      </w:r>
      <w:r>
        <w:rPr>
          <w:i w:val="0"/>
          <w:highlight w:val="none"/>
          <w:shd w:val="clear" w:color="auto" w:fill="FFFFFF"/>
        </w:rPr>
        <w:t>310</w:t>
      </w:r>
      <w:r>
        <w:rPr>
          <w:rFonts w:hint="eastAsia"/>
          <w:i w:val="0"/>
          <w:highlight w:val="none"/>
          <w:shd w:val="clear" w:color="auto" w:fill="FFFFFF"/>
        </w:rPr>
        <w:t>万吨。粗略测算碳排放量增加约</w:t>
      </w:r>
      <w:r>
        <w:rPr>
          <w:i w:val="0"/>
          <w:highlight w:val="none"/>
          <w:shd w:val="clear" w:color="auto" w:fill="FFFFFF"/>
        </w:rPr>
        <w:t>7400</w:t>
      </w:r>
      <w:r>
        <w:rPr>
          <w:rFonts w:hint="eastAsia"/>
          <w:i w:val="0"/>
          <w:highlight w:val="none"/>
          <w:shd w:val="clear" w:color="auto" w:fill="FFFFFF"/>
        </w:rPr>
        <w:t>万吨</w:t>
      </w:r>
      <w:r>
        <w:rPr>
          <w:i w:val="0"/>
          <w:highlight w:val="none"/>
          <w:shd w:val="clear" w:color="auto" w:fill="FFFFFF"/>
        </w:rPr>
        <w:t>/</w:t>
      </w:r>
      <w:r>
        <w:rPr>
          <w:rFonts w:hint="eastAsia"/>
          <w:i w:val="0"/>
          <w:highlight w:val="none"/>
          <w:shd w:val="clear" w:color="auto" w:fill="FFFFFF"/>
        </w:rPr>
        <w:t>年。</w:t>
      </w:r>
    </w:p>
    <w:p w14:paraId="5A802DE2">
      <w:pPr>
        <w:pStyle w:val="3"/>
        <w:spacing w:before="156" w:after="156"/>
      </w:pPr>
      <w:bookmarkStart w:id="8" w:name="_Toc29444"/>
      <w:r>
        <w:rPr>
          <w:rFonts w:hint="eastAsia"/>
        </w:rPr>
        <w:t>现代煤化工行业污染治理措施碳排放现状</w:t>
      </w:r>
      <w:bookmarkEnd w:id="8"/>
    </w:p>
    <w:p w14:paraId="77E20422">
      <w:pPr>
        <w:pStyle w:val="22"/>
        <w:spacing w:after="156"/>
        <w:ind w:firstLine="480"/>
      </w:pPr>
      <w:r>
        <w:rPr>
          <w:rFonts w:hint="eastAsia"/>
        </w:rPr>
        <w:t>根据《国家发展改革委</w:t>
      </w:r>
      <w:r>
        <w:t xml:space="preserve"> 工业和信息化部</w:t>
      </w:r>
      <w:r>
        <w:rPr>
          <w:rFonts w:hint="eastAsia"/>
        </w:rPr>
        <w:t>关于印发&lt;现代煤化工产业创新发展布局方案&gt;的通知》（发改产业</w:t>
      </w:r>
      <w:r>
        <w:t>[2017]553号</w:t>
      </w:r>
      <w:r>
        <w:rPr>
          <w:rFonts w:hint="eastAsia"/>
        </w:rPr>
        <w:t>），国家规划布局了内蒙古鄂尔多斯、陕西榆林、宁夏宁东、新疆准东</w:t>
      </w:r>
      <w:r>
        <w:t>4个现代煤化工产业示范区</w:t>
      </w:r>
      <w:r>
        <w:rPr>
          <w:rFonts w:hint="eastAsia"/>
        </w:rPr>
        <w:t>。</w:t>
      </w:r>
    </w:p>
    <w:p w14:paraId="03A519B3">
      <w:pPr>
        <w:pStyle w:val="22"/>
        <w:spacing w:after="156"/>
        <w:ind w:firstLine="480"/>
      </w:pPr>
      <w:r>
        <w:rPr>
          <w:rFonts w:hint="eastAsia"/>
        </w:rPr>
        <w:t>本次调研了陕西、内蒙古、宁夏、新疆、4个省、自治区共31家现代煤化工企业，包括4个</w:t>
      </w:r>
      <w:r>
        <w:t>现代煤化工产业示范区</w:t>
      </w:r>
      <w:r>
        <w:rPr>
          <w:rFonts w:hint="eastAsia"/>
        </w:rPr>
        <w:t>。本次调研主要针对现代煤化工行业废气及废水污染物治理措施进行研究，油品、化学品的储运不纳入本标准，煤直接液化、油品储罐的污染治理措施纳入石油化工行业进行研究。为保证数据有效性，综合考虑各省份现有现代煤化工产业现状及污染物排放现状，合成气后续工序不纳入本次调研范围；废水污染物治理措施的研究主要集中在污水处理装置。</w:t>
      </w:r>
    </w:p>
    <w:p w14:paraId="357420F7">
      <w:pPr>
        <w:pStyle w:val="22"/>
        <w:spacing w:after="156"/>
        <w:ind w:firstLine="480"/>
      </w:pPr>
      <w:r>
        <w:rPr>
          <w:rFonts w:hint="eastAsia"/>
        </w:rPr>
        <w:t>经过调研，废气污染物源头管控措施主要包括煤气化工艺的优化；废气污染物末端治理包括低温甲醇洗工序排放非甲烷总烃的治理措施，酸性气处理工序排放二氧化硫的治理措施，以及锅炉排放的颗粒物、二氧化硫、氮氧化物等污染物的治理措施。废水污染物治理措施依据处理水质的不同，分为前处理、深度处理和蒸发结晶三部分。</w:t>
      </w:r>
    </w:p>
    <w:p w14:paraId="2FF2F1EE">
      <w:pPr>
        <w:pStyle w:val="22"/>
        <w:spacing w:after="156"/>
        <w:ind w:firstLine="480"/>
      </w:pPr>
      <w:r>
        <w:rPr>
          <w:rFonts w:hint="eastAsia"/>
        </w:rPr>
        <w:t>根据调研数据分析，现代煤化工行业现有生产装置锅炉污染物排放与产品、能效等因素关系密切，影响因素复杂，与现代煤化工行业关联性较低，因此不纳入本标准；现代煤化工行业废气污染物排放集中在煤气化工段，二氧化碳主要通过低温甲醇洗尾气排放，现有工艺路线包括水煤浆气化、碎煤加压气化及粉煤气化三种，因此将煤气化工艺的选择作为主要源头管控措施进行研究，评价对象为低温甲醇洗直接碳排放水平；煤气化工序的主要源项为低温甲醇洗尾气，其主要污染物为非甲烷总烃，因此将低温甲醇洗尾气非甲烷总烃的治理措施作为末端治理的典型措施进行研究；蒸发结晶系统二氧化碳排放水平明显高于前处理和深度处理阶段，因此将蒸发结晶系统作为现代煤化工废水污染物典型治理措施进行研究。</w:t>
      </w:r>
    </w:p>
    <w:p w14:paraId="106E2EE0">
      <w:pPr>
        <w:pStyle w:val="29"/>
        <w:spacing w:after="156"/>
      </w:pPr>
    </w:p>
    <w:p w14:paraId="1B27B9A3">
      <w:pPr>
        <w:pStyle w:val="4"/>
        <w:spacing w:before="156" w:after="156"/>
      </w:pPr>
      <w:bookmarkStart w:id="9" w:name="_Toc26589"/>
      <w:r>
        <w:rPr>
          <w:rFonts w:hint="eastAsia"/>
        </w:rPr>
        <w:t>现代煤化工行业典型污染治理措施碳排放水平</w:t>
      </w:r>
      <w:bookmarkEnd w:id="9"/>
    </w:p>
    <w:p w14:paraId="546C22FF">
      <w:pPr>
        <w:pStyle w:val="5"/>
        <w:spacing w:before="156" w:after="156"/>
      </w:pPr>
      <w:r>
        <w:rPr>
          <w:rFonts w:hint="eastAsia"/>
        </w:rPr>
        <w:t>废气污染物源头管控</w:t>
      </w:r>
    </w:p>
    <w:p w14:paraId="0C53FB8D">
      <w:pPr>
        <w:pStyle w:val="22"/>
        <w:spacing w:after="156"/>
        <w:ind w:firstLine="480"/>
      </w:pPr>
      <w:r>
        <w:rPr>
          <w:rFonts w:hint="eastAsia"/>
        </w:rPr>
        <w:t>本次调研共收集31家单位2020~2022年二氧化碳及污染物产排放情况的有效数据，其中23家单位采用水煤浆气化工艺（其中5家采用废锅流程），3家单位采用碎煤加压气化工艺，5家采用粉煤气化工艺。水煤浆气化工艺-废锅流程单位产品（有效合成气，CO+H</w:t>
      </w:r>
      <w:r>
        <w:rPr>
          <w:rFonts w:hint="eastAsia"/>
          <w:vertAlign w:val="subscript"/>
        </w:rPr>
        <w:t>2</w:t>
      </w:r>
      <w:r>
        <w:rPr>
          <w:rFonts w:hint="eastAsia"/>
        </w:rPr>
        <w:t>）低温甲醇洗直接碳排放水平在0.4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）~1.3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），基准为0.8</w:t>
      </w:r>
      <w:r>
        <w:rPr>
          <w:rFonts w:hint="eastAsia" w:asciiTheme="minorHAnsi" w:hAnsiTheme="minorHAnsi" w:eastAsiaTheme="minorEastAsia" w:cstheme="minorBidi"/>
          <w:sz w:val="21"/>
          <w:szCs w:val="22"/>
        </w:rPr>
        <w:t xml:space="preserve"> </w:t>
      </w:r>
      <w:r>
        <w:rPr>
          <w:rFonts w:hint="eastAsia"/>
        </w:rPr>
        <w:t>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）；水煤浆气化工艺-其他流程单位产品（有效合成气，CO+H</w:t>
      </w:r>
      <w:r>
        <w:rPr>
          <w:rFonts w:hint="eastAsia"/>
          <w:vertAlign w:val="subscript"/>
        </w:rPr>
        <w:t>2</w:t>
      </w:r>
      <w:r>
        <w:rPr>
          <w:rFonts w:hint="eastAsia"/>
        </w:rPr>
        <w:t>）低温甲醇洗直接碳排放水平在0.4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）~1.5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），1级基准为0.8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），2级基准为1.0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）；粉煤气化工艺单位产品（有效合成气，CO+H</w:t>
      </w:r>
      <w:r>
        <w:rPr>
          <w:rFonts w:hint="eastAsia"/>
          <w:vertAlign w:val="subscript"/>
        </w:rPr>
        <w:t>2</w:t>
      </w:r>
      <w:r>
        <w:rPr>
          <w:rFonts w:hint="eastAsia"/>
        </w:rPr>
        <w:t>）低温甲醇洗直接碳排放水平在0.8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）~1.4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），1级基准为1.0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），2级基准为1.1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）；碎煤加压气化工艺单位产品（有效合成气，CO+H</w:t>
      </w:r>
      <w:r>
        <w:rPr>
          <w:rFonts w:hint="eastAsia"/>
          <w:vertAlign w:val="subscript"/>
        </w:rPr>
        <w:t>2</w:t>
      </w:r>
      <w:r>
        <w:rPr>
          <w:rFonts w:hint="eastAsia"/>
        </w:rPr>
        <w:t>）低温甲醇洗直接碳排放水平在1.3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）~1.6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），1级基准为1.4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），2级基准为1.5 tCO</w:t>
      </w:r>
      <w:r>
        <w:rPr>
          <w:rFonts w:hint="eastAsia"/>
          <w:vertAlign w:val="subscript"/>
        </w:rPr>
        <w:t>2</w:t>
      </w:r>
      <w:r>
        <w:rPr>
          <w:rFonts w:hint="eastAsia"/>
        </w:rPr>
        <w:t>/KNm</w:t>
      </w:r>
      <w:r>
        <w:rPr>
          <w:rFonts w:hint="eastAsia"/>
          <w:vertAlign w:val="superscript"/>
        </w:rPr>
        <w:t>3</w:t>
      </w:r>
      <w:r>
        <w:rPr>
          <w:rFonts w:hint="eastAsia"/>
        </w:rPr>
        <w:t>（CO+H</w:t>
      </w:r>
      <w:r>
        <w:rPr>
          <w:rFonts w:hint="eastAsia"/>
          <w:vertAlign w:val="subscript"/>
        </w:rPr>
        <w:t>2</w:t>
      </w:r>
      <w:r>
        <w:rPr>
          <w:rFonts w:hint="eastAsia"/>
        </w:rPr>
        <w:t>）。各单位煤制合成气工序单位产品低温甲醇洗直接碳排放水平见</w:t>
      </w:r>
      <w:r>
        <w:fldChar w:fldCharType="begin"/>
      </w:r>
      <w:r>
        <w:instrText xml:space="preserve"> REF _Ref116313200 \h  \* MERGEFORMAT </w:instrText>
      </w:r>
      <w:r>
        <w:fldChar w:fldCharType="separate"/>
      </w:r>
      <w:r>
        <w:rPr>
          <w:rFonts w:hint="eastAsia"/>
        </w:rPr>
        <w:t xml:space="preserve">表 </w:t>
      </w:r>
      <w:r>
        <w:t>1</w:t>
      </w:r>
      <w:r>
        <w:fldChar w:fldCharType="end"/>
      </w:r>
      <w:r>
        <w:rPr>
          <w:rFonts w:hint="eastAsia"/>
        </w:rPr>
        <w:t>、</w:t>
      </w:r>
      <w:r>
        <w:fldChar w:fldCharType="begin"/>
      </w:r>
      <w:r>
        <w:rPr>
          <w:rFonts w:hint="eastAsia"/>
        </w:rPr>
        <w:instrText xml:space="preserve">REF _Ref120453183 \h</w:instrText>
      </w:r>
      <w:r>
        <w:fldChar w:fldCharType="separate"/>
      </w:r>
      <w:r>
        <w:rPr>
          <w:rFonts w:hint="eastAsia"/>
        </w:rPr>
        <w:t>图 2</w:t>
      </w:r>
      <w:r>
        <w:fldChar w:fldCharType="end"/>
      </w:r>
      <w:r>
        <w:rPr>
          <w:rFonts w:hint="eastAsia"/>
        </w:rPr>
        <w:t>。</w:t>
      </w:r>
    </w:p>
    <w:p w14:paraId="46E790DB">
      <w:pPr>
        <w:pStyle w:val="27"/>
        <w:spacing w:before="156"/>
      </w:pPr>
      <w:bookmarkStart w:id="10" w:name="_Ref116313200"/>
      <w:r>
        <w:rPr>
          <w:rFonts w:hint="eastAsia"/>
        </w:rPr>
        <w:t xml:space="preserve">表 </w:t>
      </w:r>
      <w:r>
        <w:fldChar w:fldCharType="begin"/>
      </w:r>
      <w:r>
        <w:rPr>
          <w:rFonts w:hint="eastAsia"/>
        </w:rPr>
        <w:instrText xml:space="preserve">SEQ 表 \* ARABIC</w:instrText>
      </w:r>
      <w:r>
        <w:fldChar w:fldCharType="separate"/>
      </w:r>
      <w:r>
        <w:rPr>
          <w:rFonts w:hint="eastAsia"/>
        </w:rPr>
        <w:t>1</w:t>
      </w:r>
      <w:r>
        <w:fldChar w:fldCharType="end"/>
      </w:r>
      <w:bookmarkEnd w:id="10"/>
      <w:r>
        <w:rPr>
          <w:rFonts w:hint="eastAsia"/>
        </w:rPr>
        <w:t>各单位煤制合成气工序单位产品（有效合成气，CO+H</w:t>
      </w:r>
      <w:r>
        <w:rPr>
          <w:rFonts w:hint="eastAsia"/>
          <w:vertAlign w:val="subscript"/>
        </w:rPr>
        <w:t>2</w:t>
      </w:r>
      <w:r>
        <w:rPr>
          <w:rFonts w:hint="eastAsia"/>
        </w:rPr>
        <w:t>）低温甲醇洗直接碳排放水平</w:t>
      </w:r>
    </w:p>
    <w:tbl>
      <w:tblPr>
        <w:tblStyle w:val="16"/>
        <w:tblW w:w="4997" w:type="pct"/>
        <w:tblInd w:w="0" w:type="dxa"/>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108" w:type="dxa"/>
          <w:bottom w:w="0" w:type="dxa"/>
          <w:right w:w="108" w:type="dxa"/>
        </w:tblCellMar>
      </w:tblPr>
      <w:tblGrid>
        <w:gridCol w:w="1242"/>
        <w:gridCol w:w="1134"/>
        <w:gridCol w:w="1134"/>
        <w:gridCol w:w="1700"/>
        <w:gridCol w:w="1702"/>
        <w:gridCol w:w="1605"/>
      </w:tblGrid>
      <w:tr w14:paraId="3C4CF88D">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blHeader/>
        </w:trPr>
        <w:tc>
          <w:tcPr>
            <w:tcW w:w="729" w:type="pct"/>
            <w:tcBorders>
              <w:bottom w:val="single" w:color="000000" w:sz="4" w:space="0"/>
              <w:right w:val="single" w:color="000000" w:sz="4" w:space="0"/>
            </w:tcBorders>
            <w:shd w:val="clear" w:color="auto" w:fill="auto"/>
            <w:vAlign w:val="center"/>
          </w:tcPr>
          <w:p w14:paraId="63A271D4">
            <w:pPr>
              <w:pStyle w:val="25"/>
              <w:keepNext w:val="0"/>
              <w:keepLines w:val="0"/>
              <w:numPr>
                <w:ilvl w:val="0"/>
                <w:numId w:val="0"/>
              </w:numPr>
              <w:spacing w:before="156" w:beforeLines="-2147483648" w:after="156" w:afterLines="-2147483648" w:line="240" w:lineRule="auto"/>
              <w:outlineLvl w:val="9"/>
              <w:rPr>
                <w:b/>
                <w:sz w:val="44"/>
              </w:rPr>
            </w:pPr>
            <w:bookmarkStart w:id="11" w:name="_Ref116312826"/>
            <w:r>
              <w:rPr>
                <w:rFonts w:hint="eastAsia"/>
              </w:rPr>
              <w:t>公司编号</w:t>
            </w:r>
          </w:p>
        </w:tc>
        <w:tc>
          <w:tcPr>
            <w:tcW w:w="666" w:type="pct"/>
            <w:tcBorders>
              <w:left w:val="single" w:color="000000" w:sz="4" w:space="0"/>
              <w:bottom w:val="single" w:color="000000" w:sz="4" w:space="0"/>
              <w:right w:val="single" w:color="000000" w:sz="4" w:space="0"/>
            </w:tcBorders>
            <w:shd w:val="clear" w:color="auto" w:fill="auto"/>
            <w:vAlign w:val="center"/>
          </w:tcPr>
          <w:p w14:paraId="3B54A7E3">
            <w:pPr>
              <w:pStyle w:val="25"/>
              <w:keepNext w:val="0"/>
              <w:keepLines w:val="0"/>
              <w:numPr>
                <w:ilvl w:val="0"/>
                <w:numId w:val="0"/>
              </w:numPr>
              <w:spacing w:before="156" w:beforeLines="-2147483648" w:after="156" w:afterLines="-2147483648" w:line="240" w:lineRule="auto"/>
              <w:outlineLvl w:val="9"/>
              <w:rPr>
                <w:b/>
                <w:sz w:val="44"/>
              </w:rPr>
            </w:pPr>
            <w:r>
              <w:rPr>
                <w:rFonts w:hint="eastAsia"/>
              </w:rPr>
              <w:t>煤气化工艺</w:t>
            </w:r>
          </w:p>
        </w:tc>
        <w:tc>
          <w:tcPr>
            <w:tcW w:w="666" w:type="pct"/>
            <w:tcBorders>
              <w:left w:val="single" w:color="000000" w:sz="4" w:space="0"/>
              <w:bottom w:val="single" w:color="000000" w:sz="4" w:space="0"/>
              <w:right w:val="single" w:color="000000" w:sz="4" w:space="0"/>
            </w:tcBorders>
            <w:shd w:val="clear" w:color="auto" w:fill="auto"/>
            <w:vAlign w:val="center"/>
          </w:tcPr>
          <w:p w14:paraId="18C13C06">
            <w:pPr>
              <w:pStyle w:val="25"/>
              <w:keepNext w:val="0"/>
              <w:keepLines w:val="0"/>
              <w:numPr>
                <w:ilvl w:val="0"/>
                <w:numId w:val="0"/>
              </w:numPr>
              <w:spacing w:before="156" w:beforeLines="-2147483648" w:after="156" w:afterLines="-2147483648" w:line="240" w:lineRule="auto"/>
              <w:outlineLvl w:val="9"/>
              <w:rPr>
                <w:b/>
                <w:sz w:val="44"/>
              </w:rPr>
            </w:pPr>
            <w:r>
              <w:t>措施名称</w:t>
            </w:r>
          </w:p>
        </w:tc>
        <w:tc>
          <w:tcPr>
            <w:tcW w:w="998" w:type="pct"/>
            <w:tcBorders>
              <w:left w:val="single" w:color="000000" w:sz="4" w:space="0"/>
              <w:bottom w:val="single" w:color="000000" w:sz="4" w:space="0"/>
              <w:right w:val="single" w:color="000000" w:sz="4" w:space="0"/>
            </w:tcBorders>
            <w:shd w:val="clear" w:color="auto" w:fill="auto"/>
            <w:vAlign w:val="center"/>
          </w:tcPr>
          <w:p w14:paraId="4B0A3CF8">
            <w:pPr>
              <w:pStyle w:val="25"/>
              <w:keepNext w:val="0"/>
              <w:keepLines w:val="0"/>
              <w:numPr>
                <w:ilvl w:val="0"/>
                <w:numId w:val="0"/>
              </w:numPr>
              <w:spacing w:before="156" w:beforeLines="-2147483648" w:after="156" w:afterLines="-2147483648" w:line="240" w:lineRule="auto"/>
              <w:outlineLvl w:val="9"/>
              <w:rPr>
                <w:b/>
                <w:sz w:val="44"/>
              </w:rPr>
            </w:pPr>
            <w:r>
              <w:t>能耗水平（吨标准煤/1000立方米标准合成气）</w:t>
            </w:r>
          </w:p>
        </w:tc>
        <w:tc>
          <w:tcPr>
            <w:tcW w:w="999" w:type="pct"/>
            <w:tcBorders>
              <w:left w:val="single" w:color="000000" w:sz="4" w:space="0"/>
              <w:bottom w:val="single" w:color="000000" w:sz="4" w:space="0"/>
              <w:right w:val="single" w:color="000000" w:sz="4" w:space="0"/>
            </w:tcBorders>
            <w:shd w:val="clear" w:color="auto" w:fill="auto"/>
            <w:vAlign w:val="center"/>
          </w:tcPr>
          <w:p w14:paraId="56A29FB1">
            <w:pPr>
              <w:pStyle w:val="25"/>
              <w:keepNext w:val="0"/>
              <w:keepLines w:val="0"/>
              <w:numPr>
                <w:ilvl w:val="0"/>
                <w:numId w:val="0"/>
              </w:numPr>
              <w:spacing w:before="156" w:beforeLines="-2147483648" w:after="156" w:afterLines="-2147483648" w:line="240" w:lineRule="auto"/>
              <w:outlineLvl w:val="9"/>
              <w:rPr>
                <w:b/>
                <w:sz w:val="44"/>
              </w:rPr>
            </w:pPr>
            <w:r>
              <w:t>二氧化碳排放水平（吨/1000立方米标准合成气）</w:t>
            </w:r>
          </w:p>
        </w:tc>
        <w:tc>
          <w:tcPr>
            <w:tcW w:w="942" w:type="pct"/>
            <w:tcBorders>
              <w:left w:val="single" w:color="000000" w:sz="4" w:space="0"/>
              <w:bottom w:val="single" w:color="000000" w:sz="4" w:space="0"/>
            </w:tcBorders>
            <w:shd w:val="clear" w:color="auto" w:fill="auto"/>
            <w:vAlign w:val="center"/>
          </w:tcPr>
          <w:p w14:paraId="42517D10">
            <w:pPr>
              <w:pStyle w:val="25"/>
              <w:keepNext w:val="0"/>
              <w:keepLines w:val="0"/>
              <w:numPr>
                <w:ilvl w:val="0"/>
                <w:numId w:val="0"/>
              </w:numPr>
              <w:spacing w:before="156" w:beforeLines="-2147483648" w:after="156" w:afterLines="-2147483648" w:line="240" w:lineRule="auto"/>
              <w:outlineLvl w:val="9"/>
              <w:rPr>
                <w:b/>
                <w:sz w:val="44"/>
              </w:rPr>
            </w:pPr>
            <w:r>
              <w:t>废水产生水平（吨/1000立方米标准合成气）</w:t>
            </w:r>
          </w:p>
        </w:tc>
      </w:tr>
      <w:tr w14:paraId="32C528A4">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5DE0C152">
            <w:pPr>
              <w:pStyle w:val="25"/>
            </w:pPr>
            <w:r>
              <w:rPr>
                <w:rFonts w:hint="eastAsia"/>
              </w:rPr>
              <w:t>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CBCF0">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4F632">
            <w:pPr>
              <w:pStyle w:val="25"/>
            </w:pPr>
            <w:r>
              <w:t>废锅流程</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9B4A4">
            <w:pPr>
              <w:pStyle w:val="25"/>
            </w:pPr>
            <w:r>
              <w:t>0.577</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F99FA">
            <w:pPr>
              <w:pStyle w:val="25"/>
            </w:pPr>
            <w:r>
              <w:t>0.594</w:t>
            </w:r>
          </w:p>
        </w:tc>
        <w:tc>
          <w:tcPr>
            <w:tcW w:w="942" w:type="pct"/>
            <w:tcBorders>
              <w:top w:val="single" w:color="000000" w:sz="4" w:space="0"/>
              <w:left w:val="single" w:color="000000" w:sz="4" w:space="0"/>
              <w:bottom w:val="single" w:color="000000" w:sz="4" w:space="0"/>
            </w:tcBorders>
            <w:shd w:val="clear" w:color="auto" w:fill="auto"/>
            <w:vAlign w:val="center"/>
          </w:tcPr>
          <w:p w14:paraId="428A9C2D">
            <w:pPr>
              <w:pStyle w:val="25"/>
            </w:pPr>
            <w:r>
              <w:t>/</w:t>
            </w:r>
          </w:p>
        </w:tc>
      </w:tr>
      <w:tr w14:paraId="79377863">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62D2CEEA">
            <w:pPr>
              <w:pStyle w:val="25"/>
            </w:pPr>
            <w:r>
              <w:rPr>
                <w:rFonts w:hint="eastAsia"/>
              </w:rPr>
              <w:t>2</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8F91A">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2B67C">
            <w:pPr>
              <w:pStyle w:val="25"/>
            </w:pPr>
            <w:r>
              <w:t>废锅流程</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66EE8">
            <w:pPr>
              <w:pStyle w:val="25"/>
            </w:pPr>
            <w:r>
              <w:t>0.649</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1F0D5">
            <w:pPr>
              <w:pStyle w:val="25"/>
            </w:pPr>
            <w:r>
              <w:t>0.841</w:t>
            </w:r>
          </w:p>
        </w:tc>
        <w:tc>
          <w:tcPr>
            <w:tcW w:w="942" w:type="pct"/>
            <w:tcBorders>
              <w:top w:val="single" w:color="000000" w:sz="4" w:space="0"/>
              <w:left w:val="single" w:color="000000" w:sz="4" w:space="0"/>
              <w:bottom w:val="single" w:color="000000" w:sz="4" w:space="0"/>
            </w:tcBorders>
            <w:shd w:val="clear" w:color="auto" w:fill="auto"/>
            <w:vAlign w:val="center"/>
          </w:tcPr>
          <w:p w14:paraId="0D88B362">
            <w:pPr>
              <w:pStyle w:val="25"/>
            </w:pPr>
            <w:r>
              <w:t>1.378</w:t>
            </w:r>
          </w:p>
        </w:tc>
      </w:tr>
      <w:tr w14:paraId="2358EE40">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32FA1D27">
            <w:pPr>
              <w:pStyle w:val="25"/>
            </w:pPr>
            <w:r>
              <w:rPr>
                <w:rFonts w:hint="eastAsia"/>
              </w:rPr>
              <w:t>3</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D5345">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0FCE3">
            <w:pPr>
              <w:pStyle w:val="25"/>
            </w:pPr>
            <w:r>
              <w:t>废锅流程</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72118">
            <w:pPr>
              <w:pStyle w:val="25"/>
            </w:pPr>
            <w:r>
              <w:t>0.624</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C321A">
            <w:pPr>
              <w:pStyle w:val="25"/>
            </w:pPr>
            <w:r>
              <w:t>1.258</w:t>
            </w:r>
          </w:p>
        </w:tc>
        <w:tc>
          <w:tcPr>
            <w:tcW w:w="942" w:type="pct"/>
            <w:tcBorders>
              <w:top w:val="single" w:color="000000" w:sz="4" w:space="0"/>
              <w:left w:val="single" w:color="000000" w:sz="4" w:space="0"/>
              <w:bottom w:val="single" w:color="000000" w:sz="4" w:space="0"/>
            </w:tcBorders>
            <w:shd w:val="clear" w:color="auto" w:fill="auto"/>
            <w:vAlign w:val="center"/>
          </w:tcPr>
          <w:p w14:paraId="4DB2EB62">
            <w:pPr>
              <w:pStyle w:val="25"/>
            </w:pPr>
            <w:r>
              <w:t>/</w:t>
            </w:r>
          </w:p>
        </w:tc>
      </w:tr>
      <w:tr w14:paraId="55384851">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69CB9705">
            <w:pPr>
              <w:pStyle w:val="25"/>
            </w:pPr>
            <w:r>
              <w:rPr>
                <w:rFonts w:hint="eastAsia"/>
              </w:rPr>
              <w:t>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3BE5A">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9F21A">
            <w:pPr>
              <w:pStyle w:val="25"/>
            </w:pPr>
            <w:r>
              <w:t>废锅流程</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07243">
            <w:pPr>
              <w:pStyle w:val="25"/>
            </w:pPr>
            <w:r>
              <w:rPr>
                <w:rFonts w:hint="eastAsia"/>
              </w:rPr>
              <w:t>0.261</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A2DC6">
            <w:pPr>
              <w:pStyle w:val="25"/>
            </w:pPr>
            <w:r>
              <w:rPr>
                <w:rFonts w:hint="eastAsia"/>
              </w:rPr>
              <w:t>0.445</w:t>
            </w:r>
          </w:p>
        </w:tc>
        <w:tc>
          <w:tcPr>
            <w:tcW w:w="942" w:type="pct"/>
            <w:tcBorders>
              <w:top w:val="single" w:color="000000" w:sz="4" w:space="0"/>
              <w:left w:val="single" w:color="000000" w:sz="4" w:space="0"/>
              <w:bottom w:val="single" w:color="000000" w:sz="4" w:space="0"/>
            </w:tcBorders>
            <w:shd w:val="clear" w:color="auto" w:fill="auto"/>
            <w:vAlign w:val="center"/>
          </w:tcPr>
          <w:p w14:paraId="2BF6EBB8">
            <w:pPr>
              <w:pStyle w:val="25"/>
            </w:pPr>
            <w:r>
              <w:rPr>
                <w:rFonts w:hint="eastAsia"/>
              </w:rPr>
              <w:t>0.327</w:t>
            </w:r>
          </w:p>
        </w:tc>
      </w:tr>
      <w:tr w14:paraId="112A9B1B">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13102C39">
            <w:pPr>
              <w:pStyle w:val="25"/>
            </w:pPr>
            <w:r>
              <w:rPr>
                <w:rFonts w:hint="eastAsia"/>
              </w:rPr>
              <w:t>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1A42A">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0BC6D">
            <w:pPr>
              <w:pStyle w:val="25"/>
            </w:pPr>
            <w:r>
              <w:t>废锅流程</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36238">
            <w:pPr>
              <w:pStyle w:val="25"/>
            </w:pPr>
            <w:r>
              <w:rPr>
                <w:rFonts w:hint="eastAsia"/>
              </w:rPr>
              <w:t>0.</w:t>
            </w:r>
            <w:r>
              <w:t>430</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E8600">
            <w:pPr>
              <w:pStyle w:val="25"/>
            </w:pPr>
            <w:r>
              <w:rPr>
                <w:rFonts w:hint="eastAsia"/>
              </w:rPr>
              <w:t>0.044</w:t>
            </w:r>
          </w:p>
        </w:tc>
        <w:tc>
          <w:tcPr>
            <w:tcW w:w="942" w:type="pct"/>
            <w:tcBorders>
              <w:top w:val="single" w:color="000000" w:sz="4" w:space="0"/>
              <w:left w:val="single" w:color="000000" w:sz="4" w:space="0"/>
              <w:bottom w:val="single" w:color="000000" w:sz="4" w:space="0"/>
            </w:tcBorders>
            <w:shd w:val="clear" w:color="auto" w:fill="auto"/>
            <w:vAlign w:val="center"/>
          </w:tcPr>
          <w:p w14:paraId="24C7D4D1">
            <w:pPr>
              <w:pStyle w:val="25"/>
            </w:pPr>
            <w:r>
              <w:rPr>
                <w:rFonts w:hint="eastAsia"/>
              </w:rPr>
              <w:t>0.478</w:t>
            </w:r>
          </w:p>
        </w:tc>
      </w:tr>
      <w:tr w14:paraId="38212896">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61631344">
            <w:pPr>
              <w:pStyle w:val="25"/>
            </w:pPr>
            <w:r>
              <w:rPr>
                <w:rFonts w:hint="eastAsia"/>
              </w:rPr>
              <w:t>6</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F1B7D">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781ED">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8A875">
            <w:pPr>
              <w:pStyle w:val="25"/>
            </w:pPr>
            <w:r>
              <w:t>0.533</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216B5">
            <w:pPr>
              <w:pStyle w:val="25"/>
            </w:pPr>
            <w:r>
              <w:t>1.107</w:t>
            </w:r>
          </w:p>
        </w:tc>
        <w:tc>
          <w:tcPr>
            <w:tcW w:w="942" w:type="pct"/>
            <w:tcBorders>
              <w:top w:val="single" w:color="000000" w:sz="4" w:space="0"/>
              <w:left w:val="single" w:color="000000" w:sz="4" w:space="0"/>
              <w:bottom w:val="single" w:color="000000" w:sz="4" w:space="0"/>
            </w:tcBorders>
            <w:shd w:val="clear" w:color="auto" w:fill="auto"/>
            <w:vAlign w:val="center"/>
          </w:tcPr>
          <w:p w14:paraId="0A97902F">
            <w:pPr>
              <w:pStyle w:val="25"/>
            </w:pPr>
            <w:r>
              <w:t>0.324</w:t>
            </w:r>
          </w:p>
        </w:tc>
      </w:tr>
      <w:tr w14:paraId="433FDFC6">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512541C2">
            <w:pPr>
              <w:pStyle w:val="25"/>
            </w:pPr>
            <w:r>
              <w:rPr>
                <w:rFonts w:hint="eastAsia"/>
              </w:rPr>
              <w:t>7</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E16B8">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ACE40">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26729">
            <w:pPr>
              <w:pStyle w:val="25"/>
            </w:pPr>
            <w:r>
              <w:t>0.581</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B6194">
            <w:pPr>
              <w:pStyle w:val="25"/>
            </w:pPr>
            <w:r>
              <w:t>0.701</w:t>
            </w:r>
          </w:p>
        </w:tc>
        <w:tc>
          <w:tcPr>
            <w:tcW w:w="942" w:type="pct"/>
            <w:tcBorders>
              <w:top w:val="single" w:color="000000" w:sz="4" w:space="0"/>
              <w:left w:val="single" w:color="000000" w:sz="4" w:space="0"/>
              <w:bottom w:val="single" w:color="000000" w:sz="4" w:space="0"/>
            </w:tcBorders>
            <w:shd w:val="clear" w:color="auto" w:fill="auto"/>
            <w:vAlign w:val="center"/>
          </w:tcPr>
          <w:p w14:paraId="17769285">
            <w:pPr>
              <w:pStyle w:val="25"/>
            </w:pPr>
            <w:r>
              <w:t>0.613</w:t>
            </w:r>
          </w:p>
        </w:tc>
      </w:tr>
      <w:tr w14:paraId="69FA681A">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00895477">
            <w:pPr>
              <w:pStyle w:val="25"/>
            </w:pPr>
            <w:r>
              <w:rPr>
                <w:rFonts w:hint="eastAsia"/>
              </w:rPr>
              <w:t>8(2020年)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061EE">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21068">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917C1">
            <w:pPr>
              <w:pStyle w:val="25"/>
            </w:pPr>
            <w:r>
              <w:t>0.724</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45423">
            <w:pPr>
              <w:pStyle w:val="25"/>
            </w:pPr>
            <w:r>
              <w:t>1.275</w:t>
            </w:r>
          </w:p>
        </w:tc>
        <w:tc>
          <w:tcPr>
            <w:tcW w:w="942" w:type="pct"/>
            <w:tcBorders>
              <w:top w:val="single" w:color="000000" w:sz="4" w:space="0"/>
              <w:left w:val="single" w:color="000000" w:sz="4" w:space="0"/>
              <w:bottom w:val="single" w:color="000000" w:sz="4" w:space="0"/>
            </w:tcBorders>
            <w:shd w:val="clear" w:color="auto" w:fill="auto"/>
            <w:vAlign w:val="center"/>
          </w:tcPr>
          <w:p w14:paraId="7878B198">
            <w:pPr>
              <w:pStyle w:val="25"/>
            </w:pPr>
            <w:r>
              <w:t>0.411</w:t>
            </w:r>
          </w:p>
        </w:tc>
      </w:tr>
      <w:tr w14:paraId="6B23F5CC">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2C533EF7">
            <w:pPr>
              <w:pStyle w:val="25"/>
            </w:pPr>
            <w:r>
              <w:rPr>
                <w:rFonts w:hint="eastAsia"/>
              </w:rPr>
              <w:t>8(2021年)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2373A">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C8016">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84168">
            <w:pPr>
              <w:pStyle w:val="25"/>
            </w:pPr>
            <w:r>
              <w:t>0.720</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7371C">
            <w:pPr>
              <w:pStyle w:val="25"/>
            </w:pPr>
            <w:r>
              <w:t>1.343</w:t>
            </w:r>
          </w:p>
        </w:tc>
        <w:tc>
          <w:tcPr>
            <w:tcW w:w="942" w:type="pct"/>
            <w:tcBorders>
              <w:top w:val="single" w:color="000000" w:sz="4" w:space="0"/>
              <w:left w:val="single" w:color="000000" w:sz="4" w:space="0"/>
              <w:bottom w:val="single" w:color="000000" w:sz="4" w:space="0"/>
            </w:tcBorders>
            <w:shd w:val="clear" w:color="auto" w:fill="auto"/>
            <w:vAlign w:val="center"/>
          </w:tcPr>
          <w:p w14:paraId="745731B6">
            <w:pPr>
              <w:pStyle w:val="25"/>
            </w:pPr>
            <w:r>
              <w:t>0.424</w:t>
            </w:r>
          </w:p>
        </w:tc>
      </w:tr>
      <w:tr w14:paraId="1007D1CA">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372B2A7C">
            <w:pPr>
              <w:pStyle w:val="25"/>
            </w:pPr>
            <w:r>
              <w:rPr>
                <w:rFonts w:hint="eastAsia"/>
              </w:rPr>
              <w:t>8(2022年)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DB815">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A2B73">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B4FC9">
            <w:pPr>
              <w:pStyle w:val="25"/>
            </w:pPr>
            <w:r>
              <w:t>0.739</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300F1">
            <w:pPr>
              <w:pStyle w:val="25"/>
            </w:pPr>
            <w:r>
              <w:t>1.280</w:t>
            </w:r>
          </w:p>
        </w:tc>
        <w:tc>
          <w:tcPr>
            <w:tcW w:w="942" w:type="pct"/>
            <w:tcBorders>
              <w:top w:val="single" w:color="000000" w:sz="4" w:space="0"/>
              <w:left w:val="single" w:color="000000" w:sz="4" w:space="0"/>
              <w:bottom w:val="single" w:color="000000" w:sz="4" w:space="0"/>
            </w:tcBorders>
            <w:shd w:val="clear" w:color="auto" w:fill="auto"/>
            <w:vAlign w:val="center"/>
          </w:tcPr>
          <w:p w14:paraId="22CFFECD">
            <w:pPr>
              <w:pStyle w:val="25"/>
              <w:ind w:left="0" w:leftChars="0"/>
            </w:pPr>
            <w:r>
              <w:t>0.444</w:t>
            </w:r>
          </w:p>
        </w:tc>
      </w:tr>
      <w:tr w14:paraId="18D8A251">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51E3D7B2">
            <w:pPr>
              <w:pStyle w:val="25"/>
            </w:pPr>
            <w:r>
              <w:rPr>
                <w:rFonts w:hint="eastAsia"/>
              </w:rPr>
              <w:t>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D9442">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AE0D2">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80D15">
            <w:pPr>
              <w:pStyle w:val="25"/>
            </w:pPr>
            <w:r>
              <w:t>0.724</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2DA50">
            <w:pPr>
              <w:pStyle w:val="25"/>
            </w:pPr>
            <w:r>
              <w:t>0.738</w:t>
            </w:r>
          </w:p>
        </w:tc>
        <w:tc>
          <w:tcPr>
            <w:tcW w:w="942" w:type="pct"/>
            <w:tcBorders>
              <w:top w:val="single" w:color="000000" w:sz="4" w:space="0"/>
              <w:left w:val="single" w:color="000000" w:sz="4" w:space="0"/>
              <w:bottom w:val="single" w:color="000000" w:sz="4" w:space="0"/>
            </w:tcBorders>
            <w:shd w:val="clear" w:color="auto" w:fill="auto"/>
            <w:vAlign w:val="center"/>
          </w:tcPr>
          <w:p w14:paraId="0F49C27C">
            <w:pPr>
              <w:pStyle w:val="25"/>
            </w:pPr>
            <w:r>
              <w:t>0.252</w:t>
            </w:r>
          </w:p>
        </w:tc>
      </w:tr>
      <w:tr w14:paraId="2A371C74">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4C96DB9B">
            <w:pPr>
              <w:pStyle w:val="25"/>
            </w:pPr>
            <w:r>
              <w:rPr>
                <w:rFonts w:hint="eastAsia"/>
              </w:rPr>
              <w:t>10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573DE">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AE39D">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99D83">
            <w:pPr>
              <w:pStyle w:val="25"/>
            </w:pPr>
            <w:r>
              <w:t>0.581</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684E9">
            <w:pPr>
              <w:pStyle w:val="25"/>
            </w:pPr>
            <w:r>
              <w:t>0.701</w:t>
            </w:r>
          </w:p>
        </w:tc>
        <w:tc>
          <w:tcPr>
            <w:tcW w:w="942" w:type="pct"/>
            <w:tcBorders>
              <w:top w:val="single" w:color="000000" w:sz="4" w:space="0"/>
              <w:left w:val="single" w:color="000000" w:sz="4" w:space="0"/>
              <w:bottom w:val="single" w:color="000000" w:sz="4" w:space="0"/>
            </w:tcBorders>
            <w:shd w:val="clear" w:color="auto" w:fill="auto"/>
            <w:vAlign w:val="center"/>
          </w:tcPr>
          <w:p w14:paraId="7ECA3B6C">
            <w:pPr>
              <w:pStyle w:val="25"/>
            </w:pPr>
            <w:r>
              <w:t>0.613</w:t>
            </w:r>
          </w:p>
        </w:tc>
      </w:tr>
      <w:tr w14:paraId="6F4182DE">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45E29654">
            <w:pPr>
              <w:pStyle w:val="25"/>
            </w:pPr>
            <w:r>
              <w:rPr>
                <w:rFonts w:hint="eastAsia"/>
              </w:rPr>
              <w:t>11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EB53F">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05DC7">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3743A">
            <w:pPr>
              <w:pStyle w:val="25"/>
            </w:pPr>
            <w:r>
              <w:t>0.574</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0A69E">
            <w:pPr>
              <w:pStyle w:val="25"/>
            </w:pPr>
            <w:r>
              <w:t>0.791</w:t>
            </w:r>
          </w:p>
        </w:tc>
        <w:tc>
          <w:tcPr>
            <w:tcW w:w="942" w:type="pct"/>
            <w:tcBorders>
              <w:top w:val="single" w:color="000000" w:sz="4" w:space="0"/>
              <w:left w:val="single" w:color="000000" w:sz="4" w:space="0"/>
              <w:bottom w:val="single" w:color="000000" w:sz="4" w:space="0"/>
            </w:tcBorders>
            <w:shd w:val="clear" w:color="auto" w:fill="auto"/>
            <w:vAlign w:val="center"/>
          </w:tcPr>
          <w:p w14:paraId="2ACEC4B5">
            <w:pPr>
              <w:pStyle w:val="25"/>
            </w:pPr>
            <w:r>
              <w:t>0.476</w:t>
            </w:r>
          </w:p>
        </w:tc>
      </w:tr>
      <w:tr w14:paraId="6E431B21">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50BDC131">
            <w:pPr>
              <w:pStyle w:val="25"/>
            </w:pPr>
            <w:r>
              <w:rPr>
                <w:rFonts w:hint="eastAsia"/>
              </w:rPr>
              <w:t>12</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467E7">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AFA45">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75EF2">
            <w:pPr>
              <w:pStyle w:val="25"/>
            </w:pPr>
            <w:r>
              <w:t>0.607</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DA095">
            <w:pPr>
              <w:pStyle w:val="25"/>
            </w:pPr>
            <w:r>
              <w:t>0.933</w:t>
            </w:r>
          </w:p>
        </w:tc>
        <w:tc>
          <w:tcPr>
            <w:tcW w:w="942" w:type="pct"/>
            <w:tcBorders>
              <w:top w:val="single" w:color="000000" w:sz="4" w:space="0"/>
              <w:left w:val="single" w:color="000000" w:sz="4" w:space="0"/>
              <w:bottom w:val="single" w:color="000000" w:sz="4" w:space="0"/>
            </w:tcBorders>
            <w:shd w:val="clear" w:color="auto" w:fill="auto"/>
            <w:vAlign w:val="center"/>
          </w:tcPr>
          <w:p w14:paraId="603AC58C">
            <w:pPr>
              <w:pStyle w:val="25"/>
            </w:pPr>
            <w:r>
              <w:t>1.109</w:t>
            </w:r>
          </w:p>
        </w:tc>
      </w:tr>
      <w:tr w14:paraId="198C5042">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118E1AA0">
            <w:pPr>
              <w:pStyle w:val="25"/>
            </w:pPr>
            <w:r>
              <w:rPr>
                <w:rFonts w:hint="eastAsia"/>
              </w:rPr>
              <w:t>13</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9F28B">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844F0">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B92E2">
            <w:pPr>
              <w:pStyle w:val="25"/>
            </w:pPr>
            <w:r>
              <w:t>0.585</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9E8BE">
            <w:pPr>
              <w:pStyle w:val="25"/>
            </w:pPr>
            <w:r>
              <w:t>0.892</w:t>
            </w:r>
          </w:p>
        </w:tc>
        <w:tc>
          <w:tcPr>
            <w:tcW w:w="942" w:type="pct"/>
            <w:tcBorders>
              <w:top w:val="single" w:color="000000" w:sz="4" w:space="0"/>
              <w:left w:val="single" w:color="000000" w:sz="4" w:space="0"/>
              <w:bottom w:val="single" w:color="000000" w:sz="4" w:space="0"/>
            </w:tcBorders>
            <w:shd w:val="clear" w:color="auto" w:fill="auto"/>
            <w:vAlign w:val="center"/>
          </w:tcPr>
          <w:p w14:paraId="2639B729">
            <w:pPr>
              <w:pStyle w:val="25"/>
            </w:pPr>
            <w:r>
              <w:t>0.531</w:t>
            </w:r>
          </w:p>
        </w:tc>
      </w:tr>
      <w:tr w14:paraId="182F13A2">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3DD75C73">
            <w:pPr>
              <w:pStyle w:val="25"/>
            </w:pPr>
            <w:r>
              <w:rPr>
                <w:rFonts w:hint="eastAsia"/>
              </w:rPr>
              <w:t>14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7CD30">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91B3C">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6AD7E">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BA49B">
            <w:pPr>
              <w:pStyle w:val="25"/>
            </w:pPr>
            <w:r>
              <w:t>0.856</w:t>
            </w:r>
          </w:p>
        </w:tc>
        <w:tc>
          <w:tcPr>
            <w:tcW w:w="942" w:type="pct"/>
            <w:tcBorders>
              <w:top w:val="single" w:color="000000" w:sz="4" w:space="0"/>
              <w:left w:val="single" w:color="000000" w:sz="4" w:space="0"/>
              <w:bottom w:val="single" w:color="000000" w:sz="4" w:space="0"/>
            </w:tcBorders>
            <w:shd w:val="clear" w:color="auto" w:fill="auto"/>
            <w:vAlign w:val="center"/>
          </w:tcPr>
          <w:p w14:paraId="22B679CE">
            <w:pPr>
              <w:pStyle w:val="25"/>
            </w:pPr>
            <w:r>
              <w:t>/</w:t>
            </w:r>
          </w:p>
        </w:tc>
      </w:tr>
      <w:tr w14:paraId="243EB2A4">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33E7CD09">
            <w:pPr>
              <w:pStyle w:val="25"/>
            </w:pPr>
            <w:r>
              <w:rPr>
                <w:rFonts w:hint="eastAsia"/>
              </w:rPr>
              <w:t>15(2021年)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54F48">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90264">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4D4FB">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60A0D">
            <w:pPr>
              <w:pStyle w:val="25"/>
            </w:pPr>
            <w:r>
              <w:t>0.454</w:t>
            </w:r>
          </w:p>
        </w:tc>
        <w:tc>
          <w:tcPr>
            <w:tcW w:w="942" w:type="pct"/>
            <w:tcBorders>
              <w:top w:val="single" w:color="000000" w:sz="4" w:space="0"/>
              <w:left w:val="single" w:color="000000" w:sz="4" w:space="0"/>
              <w:bottom w:val="single" w:color="000000" w:sz="4" w:space="0"/>
            </w:tcBorders>
            <w:shd w:val="clear" w:color="auto" w:fill="auto"/>
            <w:vAlign w:val="center"/>
          </w:tcPr>
          <w:p w14:paraId="6CEF3444">
            <w:pPr>
              <w:pStyle w:val="25"/>
            </w:pPr>
            <w:r>
              <w:t>0.482</w:t>
            </w:r>
          </w:p>
        </w:tc>
      </w:tr>
      <w:tr w14:paraId="5ADF8930">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1354623F">
            <w:pPr>
              <w:pStyle w:val="25"/>
            </w:pPr>
            <w:r>
              <w:rPr>
                <w:rFonts w:hint="eastAsia"/>
              </w:rPr>
              <w:t>15(2022年)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EE3E8">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FD1BA">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0B737">
            <w:pPr>
              <w:pStyle w:val="25"/>
              <w:ind w:left="0" w:leftChars="0"/>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14C02">
            <w:pPr>
              <w:pStyle w:val="25"/>
              <w:ind w:left="0" w:leftChars="0"/>
            </w:pPr>
            <w:r>
              <w:t>0.481</w:t>
            </w:r>
          </w:p>
        </w:tc>
        <w:tc>
          <w:tcPr>
            <w:tcW w:w="942" w:type="pct"/>
            <w:tcBorders>
              <w:top w:val="single" w:color="000000" w:sz="4" w:space="0"/>
              <w:left w:val="single" w:color="000000" w:sz="4" w:space="0"/>
              <w:bottom w:val="single" w:color="000000" w:sz="4" w:space="0"/>
            </w:tcBorders>
            <w:shd w:val="clear" w:color="auto" w:fill="auto"/>
            <w:vAlign w:val="center"/>
          </w:tcPr>
          <w:p w14:paraId="4C974568">
            <w:pPr>
              <w:pStyle w:val="25"/>
              <w:ind w:left="0" w:leftChars="0"/>
            </w:pPr>
            <w:r>
              <w:t>0.500</w:t>
            </w:r>
          </w:p>
        </w:tc>
      </w:tr>
      <w:tr w14:paraId="78AA018B">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7B49BC33">
            <w:pPr>
              <w:pStyle w:val="25"/>
            </w:pPr>
            <w:r>
              <w:rPr>
                <w:rFonts w:hint="eastAsia"/>
              </w:rPr>
              <w:t>16(2020年)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0E4CE">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8D43B">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107C0">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C7A17">
            <w:pPr>
              <w:pStyle w:val="25"/>
            </w:pPr>
            <w:r>
              <w:t>0.922</w:t>
            </w:r>
          </w:p>
        </w:tc>
        <w:tc>
          <w:tcPr>
            <w:tcW w:w="942" w:type="pct"/>
            <w:tcBorders>
              <w:top w:val="single" w:color="000000" w:sz="4" w:space="0"/>
              <w:left w:val="single" w:color="000000" w:sz="4" w:space="0"/>
              <w:bottom w:val="single" w:color="000000" w:sz="4" w:space="0"/>
            </w:tcBorders>
            <w:shd w:val="clear" w:color="auto" w:fill="auto"/>
            <w:vAlign w:val="center"/>
          </w:tcPr>
          <w:p w14:paraId="73F0FC56">
            <w:pPr>
              <w:pStyle w:val="25"/>
            </w:pPr>
            <w:r>
              <w:t>0.526</w:t>
            </w:r>
          </w:p>
        </w:tc>
      </w:tr>
      <w:tr w14:paraId="7B96EF30">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74ECDCCB">
            <w:pPr>
              <w:pStyle w:val="25"/>
            </w:pPr>
            <w:r>
              <w:rPr>
                <w:rFonts w:hint="eastAsia"/>
              </w:rPr>
              <w:t>16(2021年)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E4F66">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3FF86">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AFED1">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C1FD7">
            <w:pPr>
              <w:pStyle w:val="25"/>
            </w:pPr>
            <w:r>
              <w:t>0.917</w:t>
            </w:r>
          </w:p>
        </w:tc>
        <w:tc>
          <w:tcPr>
            <w:tcW w:w="942" w:type="pct"/>
            <w:tcBorders>
              <w:top w:val="single" w:color="000000" w:sz="4" w:space="0"/>
              <w:left w:val="single" w:color="000000" w:sz="4" w:space="0"/>
              <w:bottom w:val="single" w:color="000000" w:sz="4" w:space="0"/>
            </w:tcBorders>
            <w:shd w:val="clear" w:color="auto" w:fill="auto"/>
            <w:vAlign w:val="center"/>
          </w:tcPr>
          <w:p w14:paraId="6AD33C28">
            <w:pPr>
              <w:pStyle w:val="25"/>
            </w:pPr>
            <w:r>
              <w:t>0.563</w:t>
            </w:r>
          </w:p>
        </w:tc>
      </w:tr>
      <w:tr w14:paraId="34BE58E0">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732FC000">
            <w:pPr>
              <w:pStyle w:val="25"/>
            </w:pPr>
            <w:r>
              <w:rPr>
                <w:rFonts w:hint="eastAsia"/>
              </w:rPr>
              <w:t>17</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736AC">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0CE73">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1C121">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60897">
            <w:pPr>
              <w:pStyle w:val="25"/>
            </w:pPr>
            <w:r>
              <w:t>0.746</w:t>
            </w:r>
          </w:p>
        </w:tc>
        <w:tc>
          <w:tcPr>
            <w:tcW w:w="942" w:type="pct"/>
            <w:tcBorders>
              <w:top w:val="single" w:color="000000" w:sz="4" w:space="0"/>
              <w:left w:val="single" w:color="000000" w:sz="4" w:space="0"/>
              <w:bottom w:val="single" w:color="000000" w:sz="4" w:space="0"/>
            </w:tcBorders>
            <w:shd w:val="clear" w:color="auto" w:fill="auto"/>
            <w:vAlign w:val="center"/>
          </w:tcPr>
          <w:p w14:paraId="2939AD3D">
            <w:pPr>
              <w:pStyle w:val="25"/>
            </w:pPr>
            <w:r>
              <w:t>0.483</w:t>
            </w:r>
          </w:p>
        </w:tc>
      </w:tr>
      <w:tr w14:paraId="3B66AEA4">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566B01AC">
            <w:pPr>
              <w:pStyle w:val="25"/>
            </w:pPr>
            <w:r>
              <w:rPr>
                <w:rFonts w:hint="eastAsia"/>
              </w:rPr>
              <w:t>18(2020年)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454A0">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AA7AB">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1B4C5">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B7A0B">
            <w:pPr>
              <w:pStyle w:val="25"/>
            </w:pPr>
            <w:r>
              <w:t>0.902</w:t>
            </w:r>
          </w:p>
        </w:tc>
        <w:tc>
          <w:tcPr>
            <w:tcW w:w="942" w:type="pct"/>
            <w:tcBorders>
              <w:top w:val="single" w:color="000000" w:sz="4" w:space="0"/>
              <w:left w:val="single" w:color="000000" w:sz="4" w:space="0"/>
              <w:bottom w:val="single" w:color="000000" w:sz="4" w:space="0"/>
            </w:tcBorders>
            <w:shd w:val="clear" w:color="auto" w:fill="auto"/>
            <w:vAlign w:val="center"/>
          </w:tcPr>
          <w:p w14:paraId="3C0832BB">
            <w:pPr>
              <w:pStyle w:val="25"/>
            </w:pPr>
            <w:r>
              <w:t>0.630</w:t>
            </w:r>
          </w:p>
        </w:tc>
      </w:tr>
      <w:tr w14:paraId="4ADF6474">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2726B47F">
            <w:pPr>
              <w:pStyle w:val="25"/>
            </w:pPr>
            <w:r>
              <w:rPr>
                <w:rFonts w:hint="eastAsia"/>
              </w:rPr>
              <w:t>18(2021年)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4A0C0">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7878C">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C9C90">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0B30B">
            <w:pPr>
              <w:pStyle w:val="25"/>
            </w:pPr>
            <w:r>
              <w:t>0.922</w:t>
            </w:r>
          </w:p>
        </w:tc>
        <w:tc>
          <w:tcPr>
            <w:tcW w:w="942" w:type="pct"/>
            <w:tcBorders>
              <w:top w:val="single" w:color="000000" w:sz="4" w:space="0"/>
              <w:left w:val="single" w:color="000000" w:sz="4" w:space="0"/>
              <w:bottom w:val="single" w:color="000000" w:sz="4" w:space="0"/>
            </w:tcBorders>
            <w:shd w:val="clear" w:color="auto" w:fill="auto"/>
            <w:vAlign w:val="center"/>
          </w:tcPr>
          <w:p w14:paraId="57D902D6">
            <w:pPr>
              <w:pStyle w:val="25"/>
            </w:pPr>
            <w:r>
              <w:t>0.659</w:t>
            </w:r>
          </w:p>
        </w:tc>
      </w:tr>
      <w:tr w14:paraId="350449B9">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7E0E74E0">
            <w:pPr>
              <w:pStyle w:val="25"/>
            </w:pPr>
            <w:r>
              <w:rPr>
                <w:rFonts w:hint="eastAsia"/>
              </w:rPr>
              <w:t>18(2022年)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EAC5A">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F2B3B">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F783B">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D766A">
            <w:pPr>
              <w:pStyle w:val="25"/>
            </w:pPr>
            <w:r>
              <w:t>0.945</w:t>
            </w:r>
          </w:p>
        </w:tc>
        <w:tc>
          <w:tcPr>
            <w:tcW w:w="942" w:type="pct"/>
            <w:tcBorders>
              <w:top w:val="single" w:color="000000" w:sz="4" w:space="0"/>
              <w:left w:val="single" w:color="000000" w:sz="4" w:space="0"/>
              <w:bottom w:val="single" w:color="000000" w:sz="4" w:space="0"/>
            </w:tcBorders>
            <w:shd w:val="clear" w:color="auto" w:fill="auto"/>
            <w:vAlign w:val="center"/>
          </w:tcPr>
          <w:p w14:paraId="2F21B74B">
            <w:pPr>
              <w:pStyle w:val="25"/>
            </w:pPr>
            <w:r>
              <w:t>0.553</w:t>
            </w:r>
          </w:p>
        </w:tc>
      </w:tr>
      <w:tr w14:paraId="24034E4E">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11DDF3BD">
            <w:pPr>
              <w:pStyle w:val="25"/>
            </w:pPr>
            <w:r>
              <w:rPr>
                <w:rFonts w:hint="eastAsia"/>
              </w:rPr>
              <w:t>19(2020年)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6EA56">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4904D">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A99BB">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2BC2B">
            <w:pPr>
              <w:pStyle w:val="25"/>
            </w:pPr>
            <w:r>
              <w:t>1.287</w:t>
            </w:r>
          </w:p>
        </w:tc>
        <w:tc>
          <w:tcPr>
            <w:tcW w:w="942" w:type="pct"/>
            <w:tcBorders>
              <w:top w:val="single" w:color="000000" w:sz="4" w:space="0"/>
              <w:left w:val="single" w:color="000000" w:sz="4" w:space="0"/>
              <w:bottom w:val="single" w:color="000000" w:sz="4" w:space="0"/>
            </w:tcBorders>
            <w:shd w:val="clear" w:color="auto" w:fill="auto"/>
            <w:vAlign w:val="center"/>
          </w:tcPr>
          <w:p w14:paraId="2E732B82">
            <w:pPr>
              <w:pStyle w:val="25"/>
            </w:pPr>
            <w:r>
              <w:t>0.611</w:t>
            </w:r>
          </w:p>
        </w:tc>
      </w:tr>
      <w:tr w14:paraId="6A1D4545">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3FC82AE8">
            <w:pPr>
              <w:pStyle w:val="25"/>
            </w:pPr>
            <w:r>
              <w:rPr>
                <w:rFonts w:hint="eastAsia"/>
              </w:rPr>
              <w:t>19(2021年)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58B41">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4B4C6">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CA98F">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BAE6B">
            <w:pPr>
              <w:pStyle w:val="25"/>
            </w:pPr>
            <w:r>
              <w:t>1.163</w:t>
            </w:r>
          </w:p>
        </w:tc>
        <w:tc>
          <w:tcPr>
            <w:tcW w:w="942" w:type="pct"/>
            <w:tcBorders>
              <w:top w:val="single" w:color="000000" w:sz="4" w:space="0"/>
              <w:left w:val="single" w:color="000000" w:sz="4" w:space="0"/>
              <w:bottom w:val="single" w:color="000000" w:sz="4" w:space="0"/>
            </w:tcBorders>
            <w:shd w:val="clear" w:color="auto" w:fill="auto"/>
            <w:vAlign w:val="center"/>
          </w:tcPr>
          <w:p w14:paraId="427C04CD">
            <w:pPr>
              <w:pStyle w:val="25"/>
            </w:pPr>
            <w:r>
              <w:t>0.621</w:t>
            </w:r>
          </w:p>
        </w:tc>
      </w:tr>
      <w:tr w14:paraId="778D9BED">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00EF8705">
            <w:pPr>
              <w:pStyle w:val="25"/>
            </w:pPr>
            <w:r>
              <w:rPr>
                <w:rFonts w:hint="eastAsia"/>
              </w:rPr>
              <w:t>19(2022年)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91C88">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E8989">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8B69E">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1BDE2">
            <w:pPr>
              <w:pStyle w:val="25"/>
            </w:pPr>
            <w:r>
              <w:t>1.134</w:t>
            </w:r>
          </w:p>
        </w:tc>
        <w:tc>
          <w:tcPr>
            <w:tcW w:w="942" w:type="pct"/>
            <w:tcBorders>
              <w:top w:val="single" w:color="000000" w:sz="4" w:space="0"/>
              <w:left w:val="single" w:color="000000" w:sz="4" w:space="0"/>
              <w:bottom w:val="single" w:color="000000" w:sz="4" w:space="0"/>
            </w:tcBorders>
            <w:shd w:val="clear" w:color="auto" w:fill="auto"/>
            <w:vAlign w:val="center"/>
          </w:tcPr>
          <w:p w14:paraId="74DFAD62">
            <w:pPr>
              <w:pStyle w:val="25"/>
            </w:pPr>
            <w:r>
              <w:t>0.629</w:t>
            </w:r>
          </w:p>
        </w:tc>
      </w:tr>
      <w:tr w14:paraId="14AACF7E">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1C63F759">
            <w:pPr>
              <w:pStyle w:val="25"/>
            </w:pPr>
            <w:r>
              <w:rPr>
                <w:rFonts w:hint="eastAsia"/>
              </w:rPr>
              <w:t>20(2020年)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ADBD5">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94B0C">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E7115">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B0176">
            <w:pPr>
              <w:pStyle w:val="25"/>
            </w:pPr>
            <w:r>
              <w:t>1.381</w:t>
            </w:r>
          </w:p>
        </w:tc>
        <w:tc>
          <w:tcPr>
            <w:tcW w:w="942" w:type="pct"/>
            <w:tcBorders>
              <w:top w:val="single" w:color="000000" w:sz="4" w:space="0"/>
              <w:left w:val="single" w:color="000000" w:sz="4" w:space="0"/>
              <w:bottom w:val="single" w:color="000000" w:sz="4" w:space="0"/>
            </w:tcBorders>
            <w:shd w:val="clear" w:color="auto" w:fill="auto"/>
            <w:vAlign w:val="center"/>
          </w:tcPr>
          <w:p w14:paraId="341F72C4">
            <w:pPr>
              <w:pStyle w:val="25"/>
            </w:pPr>
            <w:r>
              <w:t>0.356</w:t>
            </w:r>
          </w:p>
        </w:tc>
      </w:tr>
      <w:tr w14:paraId="1271F114">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37A250D0">
            <w:pPr>
              <w:pStyle w:val="25"/>
            </w:pPr>
            <w:r>
              <w:rPr>
                <w:rFonts w:hint="eastAsia"/>
              </w:rPr>
              <w:t>20(2021年)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E6A3F">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55ED2">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B2520">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E2EB2">
            <w:pPr>
              <w:pStyle w:val="25"/>
            </w:pPr>
            <w:r>
              <w:t>1.425</w:t>
            </w:r>
          </w:p>
        </w:tc>
        <w:tc>
          <w:tcPr>
            <w:tcW w:w="942" w:type="pct"/>
            <w:tcBorders>
              <w:top w:val="single" w:color="000000" w:sz="4" w:space="0"/>
              <w:left w:val="single" w:color="000000" w:sz="4" w:space="0"/>
              <w:bottom w:val="single" w:color="000000" w:sz="4" w:space="0"/>
            </w:tcBorders>
            <w:shd w:val="clear" w:color="auto" w:fill="auto"/>
            <w:vAlign w:val="center"/>
          </w:tcPr>
          <w:p w14:paraId="2C8B91E9">
            <w:pPr>
              <w:pStyle w:val="25"/>
            </w:pPr>
            <w:r>
              <w:t>0.389</w:t>
            </w:r>
          </w:p>
        </w:tc>
      </w:tr>
      <w:tr w14:paraId="26F2B6B5">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6C5FBDF8">
            <w:pPr>
              <w:pStyle w:val="25"/>
            </w:pPr>
            <w:r>
              <w:rPr>
                <w:rFonts w:hint="eastAsia"/>
              </w:rPr>
              <w:t>20(2022年)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1C496">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4691B">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B727C">
            <w:pPr>
              <w:pStyle w:val="25"/>
            </w:pPr>
            <w:r>
              <w:t>/</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5C29E">
            <w:pPr>
              <w:pStyle w:val="25"/>
            </w:pPr>
            <w:r>
              <w:t>1.471</w:t>
            </w:r>
          </w:p>
        </w:tc>
        <w:tc>
          <w:tcPr>
            <w:tcW w:w="942" w:type="pct"/>
            <w:tcBorders>
              <w:top w:val="single" w:color="000000" w:sz="4" w:space="0"/>
              <w:left w:val="single" w:color="000000" w:sz="4" w:space="0"/>
              <w:bottom w:val="single" w:color="000000" w:sz="4" w:space="0"/>
            </w:tcBorders>
            <w:shd w:val="clear" w:color="auto" w:fill="auto"/>
            <w:vAlign w:val="center"/>
          </w:tcPr>
          <w:p w14:paraId="509327CF">
            <w:pPr>
              <w:pStyle w:val="25"/>
            </w:pPr>
            <w:r>
              <w:t>0.383</w:t>
            </w:r>
          </w:p>
        </w:tc>
      </w:tr>
      <w:tr w14:paraId="1F3EB557">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45AB0F21">
            <w:pPr>
              <w:pStyle w:val="25"/>
            </w:pPr>
            <w:r>
              <w:rPr>
                <w:rFonts w:hint="eastAsia"/>
              </w:rPr>
              <w:t>21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54891">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EDB21">
            <w:pPr>
              <w:pStyle w:val="25"/>
              <w:ind w:left="0" w:leftChars="0"/>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FBF93">
            <w:pPr>
              <w:pStyle w:val="25"/>
              <w:ind w:left="0" w:leftChars="0"/>
            </w:pPr>
            <w:r>
              <w:rPr>
                <w:rFonts w:hint="eastAsia"/>
              </w:rPr>
              <w:t>0.581</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B81C0">
            <w:pPr>
              <w:pStyle w:val="25"/>
              <w:ind w:left="0" w:leftChars="0"/>
            </w:pPr>
            <w:r>
              <w:rPr>
                <w:rFonts w:hint="eastAsia"/>
              </w:rPr>
              <w:t>0.701</w:t>
            </w:r>
          </w:p>
        </w:tc>
        <w:tc>
          <w:tcPr>
            <w:tcW w:w="942" w:type="pct"/>
            <w:tcBorders>
              <w:top w:val="single" w:color="000000" w:sz="4" w:space="0"/>
              <w:left w:val="single" w:color="000000" w:sz="4" w:space="0"/>
              <w:bottom w:val="single" w:color="000000" w:sz="4" w:space="0"/>
            </w:tcBorders>
            <w:shd w:val="clear" w:color="auto" w:fill="auto"/>
            <w:vAlign w:val="center"/>
          </w:tcPr>
          <w:p w14:paraId="49162466">
            <w:pPr>
              <w:pStyle w:val="25"/>
              <w:ind w:left="0" w:leftChars="0"/>
            </w:pPr>
            <w:r>
              <w:rPr>
                <w:rFonts w:hint="eastAsia"/>
              </w:rPr>
              <w:t>0.613</w:t>
            </w:r>
          </w:p>
        </w:tc>
      </w:tr>
      <w:tr w14:paraId="59498EEB">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250A7300">
            <w:pPr>
              <w:pStyle w:val="25"/>
            </w:pPr>
            <w:r>
              <w:rPr>
                <w:rFonts w:hint="eastAsia"/>
              </w:rPr>
              <w:t>22</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4E41A">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7D6CA">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9A5A4">
            <w:pPr>
              <w:pStyle w:val="25"/>
            </w:pPr>
            <w:r>
              <w:rPr>
                <w:rFonts w:hint="eastAsia"/>
              </w:rPr>
              <w:t>0.581</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0CC5D">
            <w:pPr>
              <w:pStyle w:val="25"/>
            </w:pPr>
            <w:r>
              <w:rPr>
                <w:rFonts w:hint="eastAsia"/>
              </w:rPr>
              <w:t>0.701</w:t>
            </w:r>
          </w:p>
        </w:tc>
        <w:tc>
          <w:tcPr>
            <w:tcW w:w="942" w:type="pct"/>
            <w:tcBorders>
              <w:top w:val="single" w:color="000000" w:sz="4" w:space="0"/>
              <w:left w:val="single" w:color="000000" w:sz="4" w:space="0"/>
              <w:bottom w:val="single" w:color="000000" w:sz="4" w:space="0"/>
            </w:tcBorders>
            <w:shd w:val="clear" w:color="auto" w:fill="auto"/>
            <w:vAlign w:val="center"/>
          </w:tcPr>
          <w:p w14:paraId="3D131126">
            <w:pPr>
              <w:pStyle w:val="25"/>
            </w:pPr>
            <w:r>
              <w:rPr>
                <w:rFonts w:hint="eastAsia"/>
              </w:rPr>
              <w:t>0.613</w:t>
            </w:r>
          </w:p>
        </w:tc>
      </w:tr>
      <w:tr w14:paraId="7C63518D">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33922D52">
            <w:pPr>
              <w:pStyle w:val="25"/>
            </w:pPr>
            <w:r>
              <w:rPr>
                <w:rFonts w:hint="eastAsia"/>
              </w:rPr>
              <w:t>23</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544ED">
            <w:pPr>
              <w:pStyle w:val="25"/>
            </w:pPr>
            <w:r>
              <w:rPr>
                <w:rFonts w:hint="eastAsia"/>
              </w:rPr>
              <w:t>水煤浆</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E5F52">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91692">
            <w:pPr>
              <w:pStyle w:val="25"/>
            </w:pPr>
            <w:r>
              <w:rPr>
                <w:rFonts w:hint="eastAsia"/>
              </w:rPr>
              <w:t>0.517</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DF92F">
            <w:pPr>
              <w:pStyle w:val="25"/>
            </w:pPr>
            <w:r>
              <w:rPr>
                <w:rFonts w:hint="eastAsia"/>
              </w:rPr>
              <w:t>0.978</w:t>
            </w:r>
          </w:p>
        </w:tc>
        <w:tc>
          <w:tcPr>
            <w:tcW w:w="942" w:type="pct"/>
            <w:tcBorders>
              <w:top w:val="single" w:color="000000" w:sz="4" w:space="0"/>
              <w:left w:val="single" w:color="000000" w:sz="4" w:space="0"/>
              <w:bottom w:val="single" w:color="000000" w:sz="4" w:space="0"/>
            </w:tcBorders>
            <w:shd w:val="clear" w:color="auto" w:fill="auto"/>
            <w:vAlign w:val="center"/>
          </w:tcPr>
          <w:p w14:paraId="08017FC9">
            <w:pPr>
              <w:pStyle w:val="25"/>
            </w:pPr>
            <w:r>
              <w:rPr>
                <w:rFonts w:hint="eastAsia"/>
              </w:rPr>
              <w:t>0.482</w:t>
            </w:r>
          </w:p>
        </w:tc>
      </w:tr>
      <w:tr w14:paraId="4AAFDFD7">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16F437CF">
            <w:pPr>
              <w:pStyle w:val="25"/>
            </w:pPr>
            <w:r>
              <w:rPr>
                <w:rFonts w:hint="eastAsia"/>
              </w:rPr>
              <w:t>24(2020年)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F0C72">
            <w:pPr>
              <w:pStyle w:val="25"/>
            </w:pPr>
            <w:r>
              <w:rPr>
                <w:rFonts w:hint="eastAsia"/>
              </w:rPr>
              <w:t>碎煤加压</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51811">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58AA9">
            <w:pPr>
              <w:pStyle w:val="25"/>
            </w:pPr>
            <w:r>
              <w:rPr>
                <w:rFonts w:hint="eastAsia"/>
              </w:rPr>
              <w:t>0.</w:t>
            </w:r>
            <w:r>
              <w:t>991</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7F1BA">
            <w:pPr>
              <w:pStyle w:val="25"/>
            </w:pPr>
            <w:r>
              <w:t>1.370</w:t>
            </w:r>
          </w:p>
        </w:tc>
        <w:tc>
          <w:tcPr>
            <w:tcW w:w="942" w:type="pct"/>
            <w:tcBorders>
              <w:top w:val="single" w:color="000000" w:sz="4" w:space="0"/>
              <w:left w:val="single" w:color="000000" w:sz="4" w:space="0"/>
              <w:bottom w:val="single" w:color="000000" w:sz="4" w:space="0"/>
            </w:tcBorders>
            <w:shd w:val="clear" w:color="auto" w:fill="auto"/>
            <w:vAlign w:val="center"/>
          </w:tcPr>
          <w:p w14:paraId="24583989">
            <w:pPr>
              <w:pStyle w:val="25"/>
            </w:pPr>
            <w:r>
              <w:t>0.391</w:t>
            </w:r>
          </w:p>
        </w:tc>
      </w:tr>
      <w:tr w14:paraId="207C735A">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431535F0">
            <w:pPr>
              <w:pStyle w:val="25"/>
            </w:pPr>
            <w:r>
              <w:rPr>
                <w:rFonts w:hint="eastAsia"/>
              </w:rPr>
              <w:t>24(2021年)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3E2D4">
            <w:pPr>
              <w:pStyle w:val="25"/>
            </w:pPr>
            <w:r>
              <w:rPr>
                <w:rFonts w:hint="eastAsia"/>
              </w:rPr>
              <w:t>碎煤加压</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BF0CC">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84149">
            <w:pPr>
              <w:pStyle w:val="25"/>
            </w:pPr>
            <w:r>
              <w:rPr>
                <w:rFonts w:hint="eastAsia"/>
              </w:rPr>
              <w:t>0.</w:t>
            </w:r>
            <w:r>
              <w:t>921</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3C01A">
            <w:pPr>
              <w:pStyle w:val="25"/>
            </w:pPr>
            <w:r>
              <w:t>1.376</w:t>
            </w:r>
          </w:p>
        </w:tc>
        <w:tc>
          <w:tcPr>
            <w:tcW w:w="942" w:type="pct"/>
            <w:tcBorders>
              <w:top w:val="single" w:color="000000" w:sz="4" w:space="0"/>
              <w:left w:val="single" w:color="000000" w:sz="4" w:space="0"/>
              <w:bottom w:val="single" w:color="000000" w:sz="4" w:space="0"/>
            </w:tcBorders>
            <w:shd w:val="clear" w:color="auto" w:fill="auto"/>
            <w:vAlign w:val="center"/>
          </w:tcPr>
          <w:p w14:paraId="71643E99">
            <w:pPr>
              <w:pStyle w:val="25"/>
            </w:pPr>
            <w:r>
              <w:t>0.427</w:t>
            </w:r>
          </w:p>
        </w:tc>
      </w:tr>
      <w:tr w14:paraId="7B07FD24">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0E2EA8DB">
            <w:pPr>
              <w:pStyle w:val="25"/>
            </w:pPr>
            <w:r>
              <w:rPr>
                <w:rFonts w:hint="eastAsia"/>
              </w:rPr>
              <w:t>24(2022年)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41C3A">
            <w:pPr>
              <w:pStyle w:val="25"/>
            </w:pPr>
            <w:r>
              <w:rPr>
                <w:rFonts w:hint="eastAsia"/>
              </w:rPr>
              <w:t>碎煤加压</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44A4D">
            <w:pPr>
              <w:pStyle w:val="25"/>
            </w:pPr>
            <w:r>
              <w:rPr>
                <w:rFonts w:hint="eastAsia"/>
              </w:rP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DC781">
            <w:pPr>
              <w:pStyle w:val="25"/>
            </w:pPr>
            <w:r>
              <w:rPr>
                <w:rFonts w:hint="eastAsia"/>
              </w:rPr>
              <w:t>0.</w:t>
            </w:r>
            <w:r>
              <w:t>883</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56FCB">
            <w:pPr>
              <w:pStyle w:val="25"/>
            </w:pPr>
            <w:r>
              <w:t>1.443</w:t>
            </w:r>
          </w:p>
        </w:tc>
        <w:tc>
          <w:tcPr>
            <w:tcW w:w="942" w:type="pct"/>
            <w:tcBorders>
              <w:top w:val="single" w:color="000000" w:sz="4" w:space="0"/>
              <w:left w:val="single" w:color="000000" w:sz="4" w:space="0"/>
              <w:bottom w:val="single" w:color="000000" w:sz="4" w:space="0"/>
            </w:tcBorders>
            <w:shd w:val="clear" w:color="auto" w:fill="auto"/>
            <w:vAlign w:val="center"/>
          </w:tcPr>
          <w:p w14:paraId="2DB7BD51">
            <w:pPr>
              <w:pStyle w:val="25"/>
            </w:pPr>
            <w:r>
              <w:t>0.416</w:t>
            </w:r>
          </w:p>
        </w:tc>
      </w:tr>
      <w:tr w14:paraId="3AC6AB56">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781E56E4">
            <w:pPr>
              <w:pStyle w:val="25"/>
            </w:pPr>
            <w:r>
              <w:rPr>
                <w:rFonts w:hint="eastAsia"/>
              </w:rPr>
              <w:t>25(2020年)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CAE9D">
            <w:pPr>
              <w:pStyle w:val="25"/>
            </w:pPr>
            <w:r>
              <w:rPr>
                <w:rFonts w:hint="eastAsia"/>
              </w:rPr>
              <w:t>碎煤加压</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C5854">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AE143">
            <w:pPr>
              <w:pStyle w:val="25"/>
            </w:pPr>
            <w:r>
              <w:rPr>
                <w:rFonts w:hint="eastAsia"/>
              </w:rPr>
              <w:t>0.</w:t>
            </w:r>
            <w:r>
              <w:t>995</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740AF">
            <w:pPr>
              <w:pStyle w:val="25"/>
            </w:pPr>
            <w:r>
              <w:t>1.431</w:t>
            </w:r>
          </w:p>
        </w:tc>
        <w:tc>
          <w:tcPr>
            <w:tcW w:w="942" w:type="pct"/>
            <w:tcBorders>
              <w:top w:val="single" w:color="000000" w:sz="4" w:space="0"/>
              <w:left w:val="single" w:color="000000" w:sz="4" w:space="0"/>
              <w:bottom w:val="single" w:color="000000" w:sz="4" w:space="0"/>
            </w:tcBorders>
            <w:shd w:val="clear" w:color="auto" w:fill="auto"/>
            <w:vAlign w:val="center"/>
          </w:tcPr>
          <w:p w14:paraId="3BB267BF">
            <w:pPr>
              <w:pStyle w:val="25"/>
            </w:pPr>
            <w:r>
              <w:t>0.450</w:t>
            </w:r>
          </w:p>
        </w:tc>
      </w:tr>
      <w:tr w14:paraId="3B04710A">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02395DF7">
            <w:pPr>
              <w:pStyle w:val="25"/>
            </w:pPr>
            <w:r>
              <w:rPr>
                <w:rFonts w:hint="eastAsia"/>
              </w:rPr>
              <w:t>25(2021年)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5B1E5">
            <w:pPr>
              <w:pStyle w:val="25"/>
            </w:pPr>
            <w:r>
              <w:rPr>
                <w:rFonts w:hint="eastAsia"/>
              </w:rPr>
              <w:t>碎煤加压</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D6E4A">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9DD94">
            <w:pPr>
              <w:pStyle w:val="25"/>
            </w:pPr>
            <w:r>
              <w:rPr>
                <w:rFonts w:hint="eastAsia"/>
              </w:rPr>
              <w:t>0.</w:t>
            </w:r>
            <w:r>
              <w:t>927</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3B291">
            <w:pPr>
              <w:pStyle w:val="25"/>
              <w:ind w:left="0" w:leftChars="0"/>
            </w:pPr>
            <w:r>
              <w:t>1.378</w:t>
            </w:r>
          </w:p>
        </w:tc>
        <w:tc>
          <w:tcPr>
            <w:tcW w:w="942" w:type="pct"/>
            <w:tcBorders>
              <w:top w:val="single" w:color="000000" w:sz="4" w:space="0"/>
              <w:left w:val="single" w:color="000000" w:sz="4" w:space="0"/>
              <w:bottom w:val="single" w:color="000000" w:sz="4" w:space="0"/>
            </w:tcBorders>
            <w:shd w:val="clear" w:color="auto" w:fill="auto"/>
            <w:vAlign w:val="center"/>
          </w:tcPr>
          <w:p w14:paraId="0C8C63A6">
            <w:pPr>
              <w:pStyle w:val="25"/>
              <w:ind w:left="0" w:leftChars="0"/>
            </w:pPr>
            <w:r>
              <w:t>0.400</w:t>
            </w:r>
          </w:p>
        </w:tc>
      </w:tr>
      <w:tr w14:paraId="136B9838">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41C267C4">
            <w:pPr>
              <w:pStyle w:val="25"/>
            </w:pPr>
            <w:r>
              <w:rPr>
                <w:rFonts w:hint="eastAsia"/>
              </w:rPr>
              <w:t>25(2022年)</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D145F">
            <w:pPr>
              <w:pStyle w:val="25"/>
            </w:pPr>
            <w:r>
              <w:rPr>
                <w:rFonts w:hint="eastAsia"/>
              </w:rPr>
              <w:t>碎煤加压</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9E1AF">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2AEF0">
            <w:pPr>
              <w:pStyle w:val="25"/>
            </w:pPr>
            <w:r>
              <w:rPr>
                <w:rFonts w:hint="eastAsia"/>
              </w:rPr>
              <w:t>0.</w:t>
            </w:r>
            <w:r>
              <w:t>866</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D49E5">
            <w:pPr>
              <w:pStyle w:val="25"/>
            </w:pPr>
            <w:r>
              <w:t>1.449</w:t>
            </w:r>
          </w:p>
        </w:tc>
        <w:tc>
          <w:tcPr>
            <w:tcW w:w="942" w:type="pct"/>
            <w:tcBorders>
              <w:top w:val="single" w:color="000000" w:sz="4" w:space="0"/>
              <w:left w:val="single" w:color="000000" w:sz="4" w:space="0"/>
              <w:bottom w:val="single" w:color="000000" w:sz="4" w:space="0"/>
            </w:tcBorders>
            <w:shd w:val="clear" w:color="auto" w:fill="auto"/>
            <w:vAlign w:val="center"/>
          </w:tcPr>
          <w:p w14:paraId="074CE7A9">
            <w:pPr>
              <w:pStyle w:val="25"/>
            </w:pPr>
            <w:r>
              <w:t>0.485</w:t>
            </w:r>
          </w:p>
        </w:tc>
      </w:tr>
      <w:tr w14:paraId="1D115F23">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2867560C">
            <w:pPr>
              <w:pStyle w:val="25"/>
            </w:pPr>
            <w:r>
              <w:rPr>
                <w:rFonts w:hint="eastAsia"/>
              </w:rPr>
              <w:t>26</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58C7F">
            <w:pPr>
              <w:pStyle w:val="25"/>
            </w:pPr>
            <w:r>
              <w:rPr>
                <w:rFonts w:hint="eastAsia"/>
              </w:rPr>
              <w:t>碎煤加压</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2217E">
            <w:pPr>
              <w:pStyle w:val="25"/>
            </w:pPr>
            <w:r>
              <w:t>无</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78F42">
            <w:pPr>
              <w:pStyle w:val="25"/>
            </w:pPr>
            <w:r>
              <w:rPr>
                <w:rFonts w:hint="eastAsia"/>
              </w:rPr>
              <w:t>0.787</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33D8D">
            <w:pPr>
              <w:pStyle w:val="25"/>
            </w:pPr>
            <w:r>
              <w:rPr>
                <w:rFonts w:hint="eastAsia"/>
              </w:rPr>
              <w:t>1.589</w:t>
            </w:r>
          </w:p>
        </w:tc>
        <w:tc>
          <w:tcPr>
            <w:tcW w:w="942" w:type="pct"/>
            <w:tcBorders>
              <w:top w:val="single" w:color="000000" w:sz="4" w:space="0"/>
              <w:left w:val="single" w:color="000000" w:sz="4" w:space="0"/>
              <w:bottom w:val="single" w:color="000000" w:sz="4" w:space="0"/>
            </w:tcBorders>
            <w:shd w:val="clear" w:color="auto" w:fill="auto"/>
            <w:vAlign w:val="center"/>
          </w:tcPr>
          <w:p w14:paraId="150E0226">
            <w:pPr>
              <w:pStyle w:val="25"/>
            </w:pPr>
            <w:r>
              <w:rPr>
                <w:rFonts w:hint="eastAsia"/>
              </w:rPr>
              <w:t>1.391</w:t>
            </w:r>
          </w:p>
        </w:tc>
      </w:tr>
      <w:tr w14:paraId="77BB05A7">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5DC99194">
            <w:pPr>
              <w:pStyle w:val="25"/>
            </w:pPr>
            <w:r>
              <w:rPr>
                <w:rFonts w:hint="eastAsia"/>
              </w:rPr>
              <w:t>27</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A3825">
            <w:pPr>
              <w:pStyle w:val="25"/>
            </w:pPr>
            <w:r>
              <w:rPr>
                <w:rFonts w:hint="eastAsia"/>
              </w:rPr>
              <w:t>粉煤气化</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BABAE">
            <w:pPr>
              <w:pStyle w:val="25"/>
            </w:pPr>
            <w:r>
              <w:rPr>
                <w:rFonts w:hint="eastAsia"/>
              </w:rPr>
              <w:t>一喷嘴</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7AFE6">
            <w:pPr>
              <w:pStyle w:val="25"/>
            </w:pPr>
            <w:r>
              <w:rPr>
                <w:rFonts w:hint="eastAsia"/>
              </w:rPr>
              <w:t>0.644</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BCA50">
            <w:pPr>
              <w:pStyle w:val="25"/>
            </w:pPr>
            <w:r>
              <w:rPr>
                <w:rFonts w:hint="eastAsia"/>
              </w:rPr>
              <w:t>1.317</w:t>
            </w:r>
          </w:p>
        </w:tc>
        <w:tc>
          <w:tcPr>
            <w:tcW w:w="942" w:type="pct"/>
            <w:tcBorders>
              <w:top w:val="single" w:color="000000" w:sz="4" w:space="0"/>
              <w:left w:val="single" w:color="000000" w:sz="4" w:space="0"/>
              <w:bottom w:val="single" w:color="000000" w:sz="4" w:space="0"/>
            </w:tcBorders>
            <w:shd w:val="clear" w:color="auto" w:fill="auto"/>
            <w:vAlign w:val="center"/>
          </w:tcPr>
          <w:p w14:paraId="25E885D6">
            <w:pPr>
              <w:pStyle w:val="25"/>
            </w:pPr>
            <w:r>
              <w:rPr>
                <w:rFonts w:hint="eastAsia"/>
              </w:rPr>
              <w:t>0.500</w:t>
            </w:r>
          </w:p>
        </w:tc>
      </w:tr>
      <w:tr w14:paraId="4A1490EB">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08C4FBB2">
            <w:pPr>
              <w:pStyle w:val="25"/>
            </w:pPr>
            <w:r>
              <w:rPr>
                <w:rFonts w:hint="eastAsia"/>
              </w:rPr>
              <w:t>28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FF634">
            <w:pPr>
              <w:pStyle w:val="25"/>
            </w:pPr>
            <w:r>
              <w:rPr>
                <w:rFonts w:hint="eastAsia"/>
              </w:rPr>
              <w:t>粉煤气化</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FA947">
            <w:pPr>
              <w:pStyle w:val="25"/>
            </w:pPr>
            <w:r>
              <w:rPr>
                <w:rFonts w:hint="eastAsia"/>
              </w:rPr>
              <w:t>三喷嘴</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B7A3F">
            <w:pPr>
              <w:pStyle w:val="25"/>
            </w:pPr>
            <w:r>
              <w:rPr>
                <w:rFonts w:hint="eastAsia"/>
              </w:rPr>
              <w:t>0.307</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1671D">
            <w:pPr>
              <w:pStyle w:val="25"/>
            </w:pPr>
            <w:r>
              <w:rPr>
                <w:rFonts w:hint="eastAsia"/>
              </w:rPr>
              <w:t>0.128</w:t>
            </w:r>
          </w:p>
        </w:tc>
        <w:tc>
          <w:tcPr>
            <w:tcW w:w="942" w:type="pct"/>
            <w:tcBorders>
              <w:top w:val="single" w:color="000000" w:sz="4" w:space="0"/>
              <w:left w:val="single" w:color="000000" w:sz="4" w:space="0"/>
              <w:bottom w:val="single" w:color="000000" w:sz="4" w:space="0"/>
            </w:tcBorders>
            <w:shd w:val="clear" w:color="auto" w:fill="auto"/>
            <w:vAlign w:val="center"/>
          </w:tcPr>
          <w:p w14:paraId="31AB8CE6">
            <w:pPr>
              <w:pStyle w:val="25"/>
            </w:pPr>
            <w:r>
              <w:rPr>
                <w:rFonts w:hint="eastAsia"/>
              </w:rPr>
              <w:t>0.273</w:t>
            </w:r>
          </w:p>
        </w:tc>
      </w:tr>
      <w:tr w14:paraId="2A8AD421">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04DFBBC8">
            <w:pPr>
              <w:pStyle w:val="25"/>
            </w:pPr>
            <w:r>
              <w:rPr>
                <w:rFonts w:hint="eastAsia"/>
              </w:rPr>
              <w:t>29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C47BF">
            <w:pPr>
              <w:pStyle w:val="25"/>
            </w:pPr>
            <w:r>
              <w:rPr>
                <w:rFonts w:hint="eastAsia"/>
              </w:rPr>
              <w:t>粉煤气化</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062C2">
            <w:pPr>
              <w:pStyle w:val="25"/>
            </w:pPr>
            <w:r>
              <w:rPr>
                <w:rFonts w:hint="eastAsia"/>
              </w:rPr>
              <w:t>一喷嘴</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7A52">
            <w:pPr>
              <w:pStyle w:val="25"/>
            </w:pPr>
            <w:r>
              <w:rPr>
                <w:rFonts w:hint="eastAsia"/>
              </w:rPr>
              <w:t>0.580</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F506E">
            <w:pPr>
              <w:pStyle w:val="25"/>
            </w:pPr>
            <w:r>
              <w:rPr>
                <w:rFonts w:hint="eastAsia"/>
              </w:rPr>
              <w:t>0.880</w:t>
            </w:r>
          </w:p>
        </w:tc>
        <w:tc>
          <w:tcPr>
            <w:tcW w:w="942" w:type="pct"/>
            <w:tcBorders>
              <w:top w:val="single" w:color="000000" w:sz="4" w:space="0"/>
              <w:left w:val="single" w:color="000000" w:sz="4" w:space="0"/>
              <w:bottom w:val="single" w:color="000000" w:sz="4" w:space="0"/>
            </w:tcBorders>
            <w:shd w:val="clear" w:color="auto" w:fill="auto"/>
            <w:vAlign w:val="center"/>
          </w:tcPr>
          <w:p w14:paraId="3449A47A">
            <w:pPr>
              <w:pStyle w:val="25"/>
            </w:pPr>
            <w:r>
              <w:rPr>
                <w:rFonts w:hint="eastAsia"/>
              </w:rPr>
              <w:t>0.440</w:t>
            </w:r>
          </w:p>
        </w:tc>
      </w:tr>
      <w:tr w14:paraId="53319760">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bottom w:val="single" w:color="000000" w:sz="4" w:space="0"/>
              <w:right w:val="single" w:color="000000" w:sz="4" w:space="0"/>
            </w:tcBorders>
            <w:shd w:val="clear" w:color="auto" w:fill="auto"/>
            <w:vAlign w:val="center"/>
          </w:tcPr>
          <w:p w14:paraId="7D57E03A">
            <w:pPr>
              <w:pStyle w:val="25"/>
            </w:pPr>
            <w:r>
              <w:rPr>
                <w:rFonts w:hint="eastAsia"/>
              </w:rPr>
              <w:t>30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07E23">
            <w:pPr>
              <w:pStyle w:val="25"/>
            </w:pPr>
            <w:r>
              <w:rPr>
                <w:rFonts w:hint="eastAsia"/>
              </w:rPr>
              <w:t>粉煤气化</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546F2">
            <w:pPr>
              <w:pStyle w:val="25"/>
            </w:pPr>
            <w:r>
              <w:rPr>
                <w:rFonts w:hint="eastAsia"/>
              </w:rPr>
              <w:t>三喷嘴</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608D3">
            <w:pPr>
              <w:pStyle w:val="25"/>
            </w:pPr>
            <w:r>
              <w:rPr>
                <w:rFonts w:hint="eastAsia"/>
              </w:rPr>
              <w:t>0.879</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362DB">
            <w:pPr>
              <w:pStyle w:val="25"/>
            </w:pPr>
            <w:r>
              <w:rPr>
                <w:rFonts w:hint="eastAsia"/>
              </w:rPr>
              <w:t>1.141</w:t>
            </w:r>
          </w:p>
        </w:tc>
        <w:tc>
          <w:tcPr>
            <w:tcW w:w="942" w:type="pct"/>
            <w:tcBorders>
              <w:top w:val="single" w:color="000000" w:sz="4" w:space="0"/>
              <w:left w:val="single" w:color="000000" w:sz="4" w:space="0"/>
              <w:bottom w:val="single" w:color="000000" w:sz="4" w:space="0"/>
            </w:tcBorders>
            <w:shd w:val="clear" w:color="auto" w:fill="auto"/>
            <w:vAlign w:val="center"/>
          </w:tcPr>
          <w:p w14:paraId="0336ACC2">
            <w:pPr>
              <w:pStyle w:val="25"/>
            </w:pPr>
            <w:r>
              <w:rPr>
                <w:rFonts w:hint="eastAsia"/>
              </w:rPr>
              <w:t>0.415</w:t>
            </w:r>
          </w:p>
        </w:tc>
      </w:tr>
      <w:tr w14:paraId="40D2A9AA">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340" w:hRule="atLeast"/>
        </w:trPr>
        <w:tc>
          <w:tcPr>
            <w:tcW w:w="729" w:type="pct"/>
            <w:tcBorders>
              <w:top w:val="single" w:color="000000" w:sz="4" w:space="0"/>
              <w:right w:val="single" w:color="000000" w:sz="4" w:space="0"/>
            </w:tcBorders>
            <w:shd w:val="clear" w:color="auto" w:fill="auto"/>
            <w:vAlign w:val="center"/>
          </w:tcPr>
          <w:p w14:paraId="3BE2ABF2">
            <w:pPr>
              <w:pStyle w:val="25"/>
            </w:pPr>
            <w:r>
              <w:rPr>
                <w:rFonts w:hint="eastAsia"/>
              </w:rPr>
              <w:t>31</w:t>
            </w:r>
          </w:p>
        </w:tc>
        <w:tc>
          <w:tcPr>
            <w:tcW w:w="666" w:type="pct"/>
            <w:tcBorders>
              <w:top w:val="single" w:color="000000" w:sz="4" w:space="0"/>
              <w:left w:val="single" w:color="000000" w:sz="4" w:space="0"/>
              <w:right w:val="single" w:color="000000" w:sz="4" w:space="0"/>
            </w:tcBorders>
            <w:shd w:val="clear" w:color="auto" w:fill="auto"/>
            <w:vAlign w:val="center"/>
          </w:tcPr>
          <w:p w14:paraId="4DA6A226">
            <w:pPr>
              <w:pStyle w:val="25"/>
            </w:pPr>
            <w:r>
              <w:rPr>
                <w:rFonts w:hint="eastAsia"/>
              </w:rPr>
              <w:t>粉煤气化</w:t>
            </w:r>
          </w:p>
        </w:tc>
        <w:tc>
          <w:tcPr>
            <w:tcW w:w="666" w:type="pct"/>
            <w:tcBorders>
              <w:top w:val="single" w:color="000000" w:sz="4" w:space="0"/>
              <w:left w:val="single" w:color="000000" w:sz="4" w:space="0"/>
              <w:right w:val="single" w:color="000000" w:sz="4" w:space="0"/>
            </w:tcBorders>
            <w:shd w:val="clear" w:color="auto" w:fill="auto"/>
            <w:vAlign w:val="center"/>
          </w:tcPr>
          <w:p w14:paraId="0561D68C">
            <w:pPr>
              <w:pStyle w:val="25"/>
            </w:pPr>
            <w:r>
              <w:rPr>
                <w:rFonts w:hint="eastAsia"/>
              </w:rPr>
              <w:t>三喷嘴</w:t>
            </w:r>
          </w:p>
        </w:tc>
        <w:tc>
          <w:tcPr>
            <w:tcW w:w="998" w:type="pct"/>
            <w:tcBorders>
              <w:top w:val="single" w:color="000000" w:sz="4" w:space="0"/>
              <w:left w:val="single" w:color="000000" w:sz="4" w:space="0"/>
              <w:right w:val="single" w:color="000000" w:sz="4" w:space="0"/>
            </w:tcBorders>
            <w:shd w:val="clear" w:color="auto" w:fill="auto"/>
            <w:vAlign w:val="center"/>
          </w:tcPr>
          <w:p w14:paraId="39254A73">
            <w:pPr>
              <w:pStyle w:val="25"/>
            </w:pPr>
            <w:r>
              <w:rPr>
                <w:rFonts w:hint="eastAsia"/>
              </w:rPr>
              <w:t>0.517</w:t>
            </w:r>
          </w:p>
        </w:tc>
        <w:tc>
          <w:tcPr>
            <w:tcW w:w="999" w:type="pct"/>
            <w:tcBorders>
              <w:top w:val="single" w:color="000000" w:sz="4" w:space="0"/>
              <w:left w:val="single" w:color="000000" w:sz="4" w:space="0"/>
              <w:right w:val="single" w:color="000000" w:sz="4" w:space="0"/>
            </w:tcBorders>
            <w:shd w:val="clear" w:color="auto" w:fill="auto"/>
            <w:vAlign w:val="center"/>
          </w:tcPr>
          <w:p w14:paraId="3FB6F91A">
            <w:pPr>
              <w:pStyle w:val="25"/>
            </w:pPr>
            <w:r>
              <w:rPr>
                <w:rFonts w:hint="eastAsia"/>
              </w:rPr>
              <w:t>0.983</w:t>
            </w:r>
          </w:p>
        </w:tc>
        <w:tc>
          <w:tcPr>
            <w:tcW w:w="942" w:type="pct"/>
            <w:tcBorders>
              <w:top w:val="single" w:color="000000" w:sz="4" w:space="0"/>
              <w:left w:val="single" w:color="000000" w:sz="4" w:space="0"/>
            </w:tcBorders>
            <w:shd w:val="clear" w:color="auto" w:fill="auto"/>
            <w:vAlign w:val="center"/>
          </w:tcPr>
          <w:p w14:paraId="0BA7C143">
            <w:pPr>
              <w:pStyle w:val="25"/>
            </w:pPr>
            <w:r>
              <w:rPr>
                <w:rFonts w:hint="eastAsia"/>
              </w:rPr>
              <w:t>0.634</w:t>
            </w:r>
          </w:p>
        </w:tc>
      </w:tr>
    </w:tbl>
    <w:p w14:paraId="51BDAF43">
      <w:pPr>
        <w:pStyle w:val="29"/>
        <w:spacing w:after="156"/>
      </w:pPr>
    </w:p>
    <w:p w14:paraId="5A635F35">
      <w:pPr>
        <w:pStyle w:val="29"/>
        <w:spacing w:after="156"/>
      </w:pPr>
      <w:r>
        <w:rPr>
          <w:i w:val="0"/>
        </w:rPr>
        <w:drawing>
          <wp:inline distT="0" distB="0" distL="0" distR="0">
            <wp:extent cx="5274310" cy="6855460"/>
            <wp:effectExtent l="19050" t="0" r="21590" b="2007"/>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bookmarkEnd w:id="11"/>
    <w:p w14:paraId="15A67C32">
      <w:pPr>
        <w:pStyle w:val="29"/>
        <w:spacing w:after="156"/>
      </w:pPr>
      <w:bookmarkStart w:id="12" w:name="_Ref120453183"/>
      <w:r>
        <w:rPr>
          <w:rFonts w:hint="eastAsia"/>
        </w:rPr>
        <w:t xml:space="preserve">图 </w:t>
      </w:r>
      <w:r>
        <w:fldChar w:fldCharType="begin"/>
      </w:r>
      <w:r>
        <w:rPr>
          <w:rFonts w:hint="eastAsia"/>
        </w:rPr>
        <w:instrText xml:space="preserve">SEQ 图 \* ARABIC</w:instrText>
      </w:r>
      <w:r>
        <w:fldChar w:fldCharType="separate"/>
      </w:r>
      <w:r>
        <w:rPr>
          <w:rFonts w:hint="eastAsia"/>
        </w:rPr>
        <w:t>2</w:t>
      </w:r>
      <w:r>
        <w:fldChar w:fldCharType="end"/>
      </w:r>
      <w:bookmarkEnd w:id="12"/>
      <w:r>
        <w:rPr>
          <w:rFonts w:hint="eastAsia"/>
        </w:rPr>
        <w:t>各单位煤制合成气工序单位产品低温甲醇洗直接碳排放水平</w:t>
      </w:r>
    </w:p>
    <w:p w14:paraId="2883AA1F">
      <w:pPr>
        <w:pStyle w:val="22"/>
        <w:spacing w:after="156"/>
        <w:ind w:firstLine="480"/>
        <w:sectPr>
          <w:footerReference r:id="rId5" w:type="default"/>
          <w:pgSz w:w="11906" w:h="16838"/>
          <w:pgMar w:top="1440" w:right="1800" w:bottom="1440" w:left="1800" w:header="851" w:footer="992" w:gutter="0"/>
          <w:pgNumType w:start="1"/>
          <w:cols w:space="425" w:num="1"/>
          <w:docGrid w:type="lines" w:linePitch="312" w:charSpace="0"/>
        </w:sectPr>
      </w:pPr>
    </w:p>
    <w:p w14:paraId="244E3F55">
      <w:pPr>
        <w:pStyle w:val="5"/>
        <w:spacing w:before="156" w:after="156"/>
      </w:pPr>
      <w:r>
        <w:rPr>
          <w:rFonts w:hint="eastAsia"/>
        </w:rPr>
        <w:t>废气污染物末端治理</w:t>
      </w:r>
    </w:p>
    <w:p w14:paraId="60A8C992">
      <w:pPr>
        <w:pStyle w:val="22"/>
        <w:ind w:firstLine="480"/>
      </w:pPr>
      <w:r>
        <w:rPr>
          <w:rFonts w:hint="eastAsia"/>
        </w:rPr>
        <w:t>本次调研共收集27项低温甲醇洗工序非甲烷总烃治理措施碳排放有效数据，其中18项采用脱盐水洗涤，5项采用蓄热式氧化炉焚烧，4项采用直燃式氧化炉焚烧，每种治理措施单位非甲烷总烃去除量平均碳排放水平见</w:t>
      </w:r>
      <w:r>
        <w:fldChar w:fldCharType="begin"/>
      </w:r>
      <w:r>
        <w:rPr>
          <w:rFonts w:hint="eastAsia"/>
        </w:rPr>
        <w:instrText xml:space="preserve">REF _Ref116984144 \h</w:instrText>
      </w:r>
      <w:r>
        <w:fldChar w:fldCharType="separate"/>
      </w:r>
      <w:r>
        <w:rPr>
          <w:rFonts w:hint="eastAsia"/>
        </w:rPr>
        <w:t>表 2</w:t>
      </w:r>
      <w:r>
        <w:fldChar w:fldCharType="end"/>
      </w:r>
      <w:r>
        <w:rPr>
          <w:rFonts w:hint="eastAsia"/>
        </w:rPr>
        <w:t xml:space="preserve">。脱盐水洗涤1级基准为1 </w:t>
      </w:r>
      <w:r>
        <w:t>tCO</w:t>
      </w:r>
      <w:r>
        <w:rPr>
          <w:vertAlign w:val="subscript"/>
        </w:rPr>
        <w:t>2</w:t>
      </w:r>
      <w:r>
        <w:t>/t</w:t>
      </w:r>
      <w:r>
        <w:rPr>
          <w:rFonts w:hint="eastAsia"/>
        </w:rPr>
        <w:t xml:space="preserve">非甲烷总烃去除量，2级基准为2 </w:t>
      </w:r>
      <w:r>
        <w:t>tCO</w:t>
      </w:r>
      <w:r>
        <w:rPr>
          <w:vertAlign w:val="subscript"/>
        </w:rPr>
        <w:t>2</w:t>
      </w:r>
      <w:r>
        <w:t>/t</w:t>
      </w:r>
      <w:r>
        <w:rPr>
          <w:rFonts w:hint="eastAsia"/>
        </w:rPr>
        <w:t xml:space="preserve">非甲烷总烃去除量；蓄热式氧化炉1级基准为23 </w:t>
      </w:r>
      <w:r>
        <w:t>tCO</w:t>
      </w:r>
      <w:r>
        <w:rPr>
          <w:vertAlign w:val="subscript"/>
        </w:rPr>
        <w:t>2</w:t>
      </w:r>
      <w:r>
        <w:t>/t</w:t>
      </w:r>
      <w:r>
        <w:rPr>
          <w:rFonts w:hint="eastAsia"/>
        </w:rPr>
        <w:t xml:space="preserve">非甲烷总烃去除量，2级基准为36 </w:t>
      </w:r>
      <w:r>
        <w:t>tCO</w:t>
      </w:r>
      <w:r>
        <w:rPr>
          <w:vertAlign w:val="subscript"/>
        </w:rPr>
        <w:t>2</w:t>
      </w:r>
      <w:r>
        <w:t>/t</w:t>
      </w:r>
      <w:r>
        <w:rPr>
          <w:rFonts w:hint="eastAsia"/>
        </w:rPr>
        <w:t xml:space="preserve">非甲烷总烃去除量；直燃式氧化炉1级基准为34 </w:t>
      </w:r>
      <w:r>
        <w:t>tCO</w:t>
      </w:r>
      <w:r>
        <w:rPr>
          <w:vertAlign w:val="subscript"/>
        </w:rPr>
        <w:t>2</w:t>
      </w:r>
      <w:r>
        <w:t>/t</w:t>
      </w:r>
      <w:r>
        <w:rPr>
          <w:rFonts w:hint="eastAsia"/>
        </w:rPr>
        <w:t xml:space="preserve">非甲烷总烃去除量，2级基准为39 </w:t>
      </w:r>
      <w:r>
        <w:t>tCO</w:t>
      </w:r>
      <w:r>
        <w:rPr>
          <w:vertAlign w:val="subscript"/>
        </w:rPr>
        <w:t>2</w:t>
      </w:r>
      <w:r>
        <w:t>/t</w:t>
      </w:r>
      <w:r>
        <w:rPr>
          <w:rFonts w:hint="eastAsia"/>
        </w:rPr>
        <w:t>非甲烷总烃去除量。</w:t>
      </w:r>
    </w:p>
    <w:p w14:paraId="52009960">
      <w:pPr>
        <w:pStyle w:val="27"/>
        <w:spacing w:before="156"/>
      </w:pPr>
      <w:bookmarkStart w:id="13" w:name="_Ref116984144"/>
      <w:bookmarkStart w:id="14" w:name="_Ref116984132"/>
      <w:r>
        <w:rPr>
          <w:rFonts w:hint="eastAsia"/>
        </w:rPr>
        <w:t xml:space="preserve">表 </w:t>
      </w:r>
      <w:r>
        <w:fldChar w:fldCharType="begin"/>
      </w:r>
      <w:r>
        <w:rPr>
          <w:rFonts w:hint="eastAsia"/>
        </w:rPr>
        <w:instrText xml:space="preserve">SEQ 表 \* ARABIC</w:instrText>
      </w:r>
      <w:r>
        <w:fldChar w:fldCharType="separate"/>
      </w:r>
      <w:r>
        <w:rPr>
          <w:rFonts w:hint="eastAsia"/>
        </w:rPr>
        <w:t>2</w:t>
      </w:r>
      <w:r>
        <w:fldChar w:fldCharType="end"/>
      </w:r>
      <w:bookmarkEnd w:id="13"/>
      <w:bookmarkEnd w:id="14"/>
      <w:r>
        <w:rPr>
          <w:rFonts w:hint="eastAsia"/>
        </w:rPr>
        <w:t>低温甲醇洗尾气单位非甲烷总烃去除量碳排放水平基准</w:t>
      </w:r>
    </w:p>
    <w:tbl>
      <w:tblPr>
        <w:tblStyle w:val="16"/>
        <w:tblW w:w="4998"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266"/>
        <w:gridCol w:w="1424"/>
        <w:gridCol w:w="2176"/>
        <w:gridCol w:w="1741"/>
        <w:gridCol w:w="1912"/>
      </w:tblGrid>
      <w:tr w14:paraId="1E31D01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43" w:type="pct"/>
            <w:shd w:val="clear" w:color="auto" w:fill="auto"/>
            <w:noWrap/>
            <w:vAlign w:val="center"/>
          </w:tcPr>
          <w:p w14:paraId="23936200">
            <w:pPr>
              <w:pStyle w:val="25"/>
            </w:pPr>
            <w:r>
              <w:rPr>
                <w:rFonts w:hint="eastAsia"/>
              </w:rPr>
              <w:t>产物工序</w:t>
            </w:r>
          </w:p>
        </w:tc>
        <w:tc>
          <w:tcPr>
            <w:tcW w:w="836" w:type="pct"/>
            <w:shd w:val="clear" w:color="auto" w:fill="auto"/>
            <w:vAlign w:val="center"/>
          </w:tcPr>
          <w:p w14:paraId="568038AC">
            <w:pPr>
              <w:pStyle w:val="25"/>
            </w:pPr>
            <w:r>
              <w:rPr>
                <w:rFonts w:hint="eastAsia"/>
              </w:rPr>
              <w:t>污染物种类</w:t>
            </w:r>
          </w:p>
        </w:tc>
        <w:tc>
          <w:tcPr>
            <w:tcW w:w="1277" w:type="pct"/>
            <w:shd w:val="clear" w:color="auto" w:fill="auto"/>
            <w:vAlign w:val="center"/>
          </w:tcPr>
          <w:p w14:paraId="01F25214">
            <w:pPr>
              <w:pStyle w:val="25"/>
            </w:pPr>
            <w:r>
              <w:rPr>
                <w:rFonts w:hint="eastAsia"/>
              </w:rPr>
              <w:t>环保治理措施</w:t>
            </w:r>
          </w:p>
        </w:tc>
        <w:tc>
          <w:tcPr>
            <w:tcW w:w="1022" w:type="pct"/>
            <w:shd w:val="clear" w:color="auto" w:fill="auto"/>
            <w:vAlign w:val="center"/>
          </w:tcPr>
          <w:p w14:paraId="17ECD37A">
            <w:pPr>
              <w:pStyle w:val="25"/>
            </w:pPr>
            <w:r>
              <w:rPr>
                <w:rFonts w:hint="eastAsia"/>
              </w:rPr>
              <w:t>样本数量</w:t>
            </w:r>
          </w:p>
        </w:tc>
        <w:tc>
          <w:tcPr>
            <w:tcW w:w="1122" w:type="pct"/>
            <w:shd w:val="clear" w:color="auto" w:fill="auto"/>
            <w:vAlign w:val="center"/>
          </w:tcPr>
          <w:p w14:paraId="5805B07F">
            <w:pPr>
              <w:pStyle w:val="25"/>
            </w:pPr>
            <w:r>
              <w:rPr>
                <w:rFonts w:hint="eastAsia"/>
              </w:rPr>
              <w:t>二氧化碳排放水平</w:t>
            </w:r>
          </w:p>
        </w:tc>
      </w:tr>
      <w:tr w14:paraId="3928A1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43" w:type="pct"/>
            <w:vMerge w:val="restart"/>
            <w:shd w:val="clear" w:color="auto" w:fill="auto"/>
            <w:noWrap/>
            <w:vAlign w:val="center"/>
          </w:tcPr>
          <w:p w14:paraId="05294A93">
            <w:pPr>
              <w:pStyle w:val="25"/>
            </w:pPr>
            <w:r>
              <w:rPr>
                <w:rFonts w:hint="eastAsia"/>
              </w:rPr>
              <w:t>低温甲醇洗</w:t>
            </w:r>
          </w:p>
        </w:tc>
        <w:tc>
          <w:tcPr>
            <w:tcW w:w="836" w:type="pct"/>
            <w:vMerge w:val="restart"/>
            <w:shd w:val="clear" w:color="auto" w:fill="auto"/>
            <w:noWrap/>
            <w:vAlign w:val="center"/>
          </w:tcPr>
          <w:p w14:paraId="379B8FF6">
            <w:pPr>
              <w:pStyle w:val="25"/>
            </w:pPr>
            <w:r>
              <w:rPr>
                <w:rFonts w:hint="eastAsia"/>
              </w:rPr>
              <w:t>非甲烷总烃</w:t>
            </w:r>
          </w:p>
        </w:tc>
        <w:tc>
          <w:tcPr>
            <w:tcW w:w="1277" w:type="pct"/>
            <w:shd w:val="clear" w:color="auto" w:fill="auto"/>
            <w:noWrap/>
            <w:vAlign w:val="center"/>
          </w:tcPr>
          <w:p w14:paraId="466586F5">
            <w:pPr>
              <w:pStyle w:val="25"/>
            </w:pPr>
            <w:r>
              <w:rPr>
                <w:rFonts w:hint="eastAsia"/>
              </w:rPr>
              <w:t>水洗</w:t>
            </w:r>
          </w:p>
        </w:tc>
        <w:tc>
          <w:tcPr>
            <w:tcW w:w="1022" w:type="pct"/>
            <w:shd w:val="clear" w:color="auto" w:fill="auto"/>
            <w:noWrap/>
            <w:vAlign w:val="center"/>
          </w:tcPr>
          <w:p w14:paraId="5E106AB6">
            <w:pPr>
              <w:pStyle w:val="25"/>
            </w:pPr>
            <w:r>
              <w:rPr>
                <w:rFonts w:hint="eastAsia"/>
              </w:rPr>
              <w:t>18</w:t>
            </w:r>
          </w:p>
        </w:tc>
        <w:tc>
          <w:tcPr>
            <w:tcW w:w="1122" w:type="pct"/>
            <w:shd w:val="clear" w:color="auto" w:fill="auto"/>
            <w:noWrap/>
            <w:vAlign w:val="center"/>
          </w:tcPr>
          <w:p w14:paraId="50EC874F">
            <w:pPr>
              <w:pStyle w:val="25"/>
            </w:pPr>
            <w:r>
              <w:rPr>
                <w:rFonts w:hint="eastAsia"/>
              </w:rPr>
              <w:t>1.71</w:t>
            </w:r>
          </w:p>
        </w:tc>
      </w:tr>
      <w:tr w14:paraId="402D06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43" w:type="pct"/>
            <w:vMerge w:val="continue"/>
            <w:vAlign w:val="center"/>
          </w:tcPr>
          <w:p w14:paraId="68764C97">
            <w:pPr>
              <w:pStyle w:val="25"/>
            </w:pPr>
          </w:p>
        </w:tc>
        <w:tc>
          <w:tcPr>
            <w:tcW w:w="836" w:type="pct"/>
            <w:vMerge w:val="continue"/>
            <w:vAlign w:val="center"/>
          </w:tcPr>
          <w:p w14:paraId="212FE120">
            <w:pPr>
              <w:pStyle w:val="25"/>
            </w:pPr>
          </w:p>
        </w:tc>
        <w:tc>
          <w:tcPr>
            <w:tcW w:w="1277" w:type="pct"/>
            <w:shd w:val="clear" w:color="auto" w:fill="auto"/>
            <w:noWrap/>
            <w:vAlign w:val="bottom"/>
          </w:tcPr>
          <w:p w14:paraId="18707C38">
            <w:pPr>
              <w:pStyle w:val="25"/>
            </w:pPr>
            <w:r>
              <w:rPr>
                <w:rFonts w:hint="eastAsia"/>
              </w:rPr>
              <w:t>RTO炉焚烧</w:t>
            </w:r>
          </w:p>
        </w:tc>
        <w:tc>
          <w:tcPr>
            <w:tcW w:w="1022" w:type="pct"/>
            <w:shd w:val="clear" w:color="auto" w:fill="auto"/>
            <w:noWrap/>
            <w:vAlign w:val="bottom"/>
          </w:tcPr>
          <w:p w14:paraId="696BD68A">
            <w:pPr>
              <w:pStyle w:val="25"/>
            </w:pPr>
            <w:r>
              <w:rPr>
                <w:rFonts w:hint="eastAsia"/>
              </w:rPr>
              <w:t>5</w:t>
            </w:r>
          </w:p>
        </w:tc>
        <w:tc>
          <w:tcPr>
            <w:tcW w:w="1122" w:type="pct"/>
            <w:shd w:val="clear" w:color="auto" w:fill="auto"/>
            <w:noWrap/>
            <w:vAlign w:val="bottom"/>
          </w:tcPr>
          <w:p w14:paraId="1420AC12">
            <w:pPr>
              <w:pStyle w:val="25"/>
            </w:pPr>
            <w:r>
              <w:rPr>
                <w:rFonts w:hint="eastAsia"/>
              </w:rPr>
              <w:t>24.56</w:t>
            </w:r>
          </w:p>
        </w:tc>
      </w:tr>
      <w:tr w14:paraId="6F27D4D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43" w:type="pct"/>
            <w:vMerge w:val="continue"/>
            <w:vAlign w:val="center"/>
          </w:tcPr>
          <w:p w14:paraId="3BB9833C">
            <w:pPr>
              <w:pStyle w:val="25"/>
            </w:pPr>
          </w:p>
        </w:tc>
        <w:tc>
          <w:tcPr>
            <w:tcW w:w="836" w:type="pct"/>
            <w:vMerge w:val="continue"/>
            <w:vAlign w:val="center"/>
          </w:tcPr>
          <w:p w14:paraId="7CBB1E62">
            <w:pPr>
              <w:pStyle w:val="25"/>
            </w:pPr>
          </w:p>
        </w:tc>
        <w:tc>
          <w:tcPr>
            <w:tcW w:w="1277" w:type="pct"/>
            <w:shd w:val="clear" w:color="auto" w:fill="auto"/>
            <w:noWrap/>
            <w:vAlign w:val="bottom"/>
          </w:tcPr>
          <w:p w14:paraId="7B946396">
            <w:pPr>
              <w:pStyle w:val="25"/>
            </w:pPr>
            <w:r>
              <w:rPr>
                <w:rFonts w:hint="eastAsia"/>
              </w:rPr>
              <w:t>TO炉焚烧</w:t>
            </w:r>
          </w:p>
        </w:tc>
        <w:tc>
          <w:tcPr>
            <w:tcW w:w="1022" w:type="pct"/>
            <w:shd w:val="clear" w:color="auto" w:fill="auto"/>
            <w:noWrap/>
            <w:vAlign w:val="bottom"/>
          </w:tcPr>
          <w:p w14:paraId="25B78CC5">
            <w:pPr>
              <w:pStyle w:val="25"/>
            </w:pPr>
            <w:r>
              <w:rPr>
                <w:rFonts w:hint="eastAsia"/>
              </w:rPr>
              <w:t>4</w:t>
            </w:r>
          </w:p>
        </w:tc>
        <w:tc>
          <w:tcPr>
            <w:tcW w:w="1122" w:type="pct"/>
            <w:shd w:val="clear" w:color="auto" w:fill="auto"/>
            <w:noWrap/>
            <w:vAlign w:val="bottom"/>
          </w:tcPr>
          <w:p w14:paraId="0DFF8985">
            <w:pPr>
              <w:pStyle w:val="25"/>
            </w:pPr>
            <w:r>
              <w:rPr>
                <w:rFonts w:hint="eastAsia"/>
              </w:rPr>
              <w:t xml:space="preserve">40.44 </w:t>
            </w:r>
          </w:p>
        </w:tc>
      </w:tr>
    </w:tbl>
    <w:p w14:paraId="01EB9546">
      <w:pPr>
        <w:pStyle w:val="22"/>
        <w:spacing w:after="156"/>
        <w:ind w:firstLine="0" w:firstLineChars="0"/>
      </w:pPr>
    </w:p>
    <w:p w14:paraId="7A822CD0">
      <w:pPr>
        <w:pStyle w:val="22"/>
        <w:spacing w:after="156"/>
        <w:ind w:firstLine="0" w:firstLineChars="0"/>
      </w:pPr>
    </w:p>
    <w:p w14:paraId="3A15F964">
      <w:pPr>
        <w:pStyle w:val="22"/>
        <w:spacing w:after="156"/>
        <w:ind w:firstLine="0" w:firstLineChars="0"/>
      </w:pPr>
    </w:p>
    <w:p w14:paraId="71B3D3A1">
      <w:pPr>
        <w:pStyle w:val="31"/>
        <w:sectPr>
          <w:pgSz w:w="11906" w:h="16838"/>
          <w:pgMar w:top="1440" w:right="1800" w:bottom="1440" w:left="1800" w:header="851" w:footer="992" w:gutter="0"/>
          <w:cols w:space="425" w:num="1"/>
          <w:docGrid w:type="lines" w:linePitch="312" w:charSpace="0"/>
        </w:sectPr>
      </w:pPr>
    </w:p>
    <w:p w14:paraId="4B80AC30">
      <w:pPr>
        <w:pStyle w:val="5"/>
        <w:spacing w:before="156" w:after="156"/>
      </w:pPr>
      <w:r>
        <w:rPr>
          <w:rFonts w:hint="eastAsia"/>
        </w:rPr>
        <w:t>废水污染物治理措施</w:t>
      </w:r>
    </w:p>
    <w:p w14:paraId="3F9E8C71">
      <w:pPr>
        <w:pStyle w:val="22"/>
        <w:spacing w:after="156"/>
        <w:ind w:firstLine="480"/>
      </w:pPr>
      <w:r>
        <w:rPr>
          <w:rFonts w:hint="eastAsia"/>
        </w:rPr>
        <w:t>本次调研共收集31家单位水处理过程二氧化碳排放水平有效数据。不同单位水处理设施工艺有所不同，整体上可以分为前处理（软化、气浮、澄清、生化等措施）、深度处理（臭氧、膜浓缩等措施）、蒸发结晶（多效蒸发、MVR等措施）。在提供的有效数据中，16家企业采取了蒸发结晶工艺进行最终处理，占比61.29%。同时，对数据整理分析发现，在前处理和深度处理阶段，水量处理规模和二氧化碳排水水平较低且接近（在0.0007~0.002 吨/吨水规模）；相比而言，整体处理工艺中蒸发结晶部分二氧化碳排放水平明显高于前处理和深度处理阶段（在0.002~0.02 吨/吨水规模）。</w:t>
      </w:r>
    </w:p>
    <w:p w14:paraId="36644ED3">
      <w:pPr>
        <w:pStyle w:val="22"/>
        <w:spacing w:after="156"/>
        <w:ind w:firstLine="480"/>
      </w:pPr>
      <w:r>
        <w:rPr>
          <w:rFonts w:hint="eastAsia"/>
        </w:rPr>
        <w:t>因此，本标准只针对处理工艺中二氧化碳排放强度高的蒸发结晶部分进行分析。蒸发结晶系统单位水处理量碳排放水平见</w:t>
      </w:r>
      <w:r>
        <w:fldChar w:fldCharType="begin"/>
      </w:r>
      <w:r>
        <w:rPr>
          <w:rFonts w:hint="eastAsia"/>
        </w:rPr>
        <w:instrText xml:space="preserve">REF _Ref116313276 \h</w:instrText>
      </w:r>
      <w:r>
        <w:fldChar w:fldCharType="separate"/>
      </w:r>
      <w:r>
        <w:rPr>
          <w:rFonts w:hint="eastAsia"/>
        </w:rPr>
        <w:t>表 3</w:t>
      </w:r>
      <w:r>
        <w:fldChar w:fldCharType="end"/>
      </w:r>
      <w:r>
        <w:rPr>
          <w:rFonts w:hint="eastAsia"/>
        </w:rPr>
        <w:t xml:space="preserve">。1级基准为0.02 </w:t>
      </w:r>
      <w:r>
        <w:t>tCO</w:t>
      </w:r>
      <w:r>
        <w:rPr>
          <w:vertAlign w:val="subscript"/>
        </w:rPr>
        <w:t>2</w:t>
      </w:r>
      <w:r>
        <w:t>/t</w:t>
      </w:r>
      <w:r>
        <w:rPr>
          <w:rFonts w:hint="eastAsia"/>
        </w:rPr>
        <w:t xml:space="preserve">浓盐水处理量，2级基准为0.03 </w:t>
      </w:r>
      <w:r>
        <w:t>tCO</w:t>
      </w:r>
      <w:r>
        <w:rPr>
          <w:vertAlign w:val="subscript"/>
        </w:rPr>
        <w:t>2</w:t>
      </w:r>
      <w:r>
        <w:t>/t</w:t>
      </w:r>
      <w:r>
        <w:rPr>
          <w:rFonts w:hint="eastAsia"/>
        </w:rPr>
        <w:t>浓盐水处理量。</w:t>
      </w:r>
    </w:p>
    <w:p w14:paraId="77485E21">
      <w:pPr>
        <w:pStyle w:val="27"/>
        <w:spacing w:before="156"/>
      </w:pPr>
      <w:bookmarkStart w:id="15" w:name="_Ref116313276"/>
      <w:r>
        <w:rPr>
          <w:rFonts w:hint="eastAsia"/>
        </w:rPr>
        <w:t xml:space="preserve">表 </w:t>
      </w:r>
      <w:r>
        <w:fldChar w:fldCharType="begin"/>
      </w:r>
      <w:r>
        <w:rPr>
          <w:rFonts w:hint="eastAsia"/>
        </w:rPr>
        <w:instrText xml:space="preserve">SEQ 表 \* ARABIC</w:instrText>
      </w:r>
      <w:r>
        <w:fldChar w:fldCharType="separate"/>
      </w:r>
      <w:r>
        <w:rPr>
          <w:rFonts w:hint="eastAsia"/>
        </w:rPr>
        <w:t>3</w:t>
      </w:r>
      <w:r>
        <w:fldChar w:fldCharType="end"/>
      </w:r>
      <w:bookmarkEnd w:id="15"/>
      <w:r>
        <w:rPr>
          <w:rFonts w:hint="eastAsia"/>
        </w:rPr>
        <w:t>蒸发结晶系统单位水处理量碳排放水平</w:t>
      </w:r>
    </w:p>
    <w:tbl>
      <w:tblPr>
        <w:tblStyle w:val="16"/>
        <w:tblW w:w="4998"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238"/>
        <w:gridCol w:w="2884"/>
        <w:gridCol w:w="1467"/>
        <w:gridCol w:w="1499"/>
        <w:gridCol w:w="1431"/>
      </w:tblGrid>
      <w:tr w14:paraId="00E2DF2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vMerge w:val="restart"/>
            <w:tcBorders>
              <w:bottom w:val="single" w:color="000000" w:sz="4" w:space="0"/>
              <w:right w:val="single" w:color="000000" w:sz="4" w:space="0"/>
            </w:tcBorders>
            <w:shd w:val="clear" w:color="auto" w:fill="auto"/>
            <w:noWrap/>
            <w:vAlign w:val="center"/>
          </w:tcPr>
          <w:p w14:paraId="75796C4D">
            <w:pPr>
              <w:pStyle w:val="25"/>
            </w:pPr>
            <w:r>
              <w:rPr>
                <w:rFonts w:hint="eastAsia"/>
              </w:rPr>
              <w:t>公司编号</w:t>
            </w:r>
          </w:p>
        </w:tc>
        <w:tc>
          <w:tcPr>
            <w:tcW w:w="1691" w:type="pct"/>
            <w:vMerge w:val="restart"/>
            <w:tcBorders>
              <w:left w:val="single" w:color="000000" w:sz="4" w:space="0"/>
              <w:bottom w:val="single" w:color="000000" w:sz="4" w:space="0"/>
              <w:right w:val="single" w:color="000000" w:sz="4" w:space="0"/>
            </w:tcBorders>
            <w:shd w:val="clear" w:color="auto" w:fill="auto"/>
            <w:noWrap/>
            <w:vAlign w:val="center"/>
          </w:tcPr>
          <w:p w14:paraId="0ADBE374">
            <w:pPr>
              <w:pStyle w:val="25"/>
            </w:pPr>
            <w:r>
              <w:rPr>
                <w:rFonts w:hint="eastAsia"/>
              </w:rPr>
              <w:t>污染治理措施</w:t>
            </w:r>
          </w:p>
        </w:tc>
        <w:tc>
          <w:tcPr>
            <w:tcW w:w="2581" w:type="pct"/>
            <w:gridSpan w:val="3"/>
            <w:tcBorders>
              <w:left w:val="single" w:color="000000" w:sz="4" w:space="0"/>
              <w:bottom w:val="single" w:color="000000" w:sz="4" w:space="0"/>
            </w:tcBorders>
            <w:shd w:val="clear" w:color="auto" w:fill="auto"/>
            <w:noWrap/>
            <w:vAlign w:val="center"/>
          </w:tcPr>
          <w:p w14:paraId="79C5DDDC">
            <w:pPr>
              <w:pStyle w:val="25"/>
            </w:pPr>
            <w:r>
              <w:rPr>
                <w:rFonts w:hint="eastAsia"/>
              </w:rPr>
              <w:t>二氧化碳排放水平（吨/吨水）</w:t>
            </w:r>
          </w:p>
        </w:tc>
      </w:tr>
      <w:tr w14:paraId="3B41DC9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vMerge w:val="continue"/>
            <w:tcBorders>
              <w:top w:val="single" w:color="000000" w:sz="4" w:space="0"/>
              <w:bottom w:val="single" w:color="000000" w:sz="4" w:space="0"/>
              <w:right w:val="single" w:color="000000" w:sz="4" w:space="0"/>
            </w:tcBorders>
            <w:shd w:val="clear" w:color="auto" w:fill="auto"/>
            <w:noWrap/>
            <w:vAlign w:val="center"/>
          </w:tcPr>
          <w:p w14:paraId="67CE7E05">
            <w:pPr>
              <w:pStyle w:val="25"/>
            </w:pPr>
          </w:p>
        </w:tc>
        <w:tc>
          <w:tcPr>
            <w:tcW w:w="16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B6680">
            <w:pPr>
              <w:pStyle w:val="25"/>
            </w:pP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D14E4">
            <w:pPr>
              <w:pStyle w:val="25"/>
            </w:pPr>
            <w:r>
              <w:rPr>
                <w:rFonts w:hint="eastAsia"/>
              </w:rPr>
              <w:t>2022</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494D4">
            <w:pPr>
              <w:pStyle w:val="25"/>
            </w:pPr>
            <w:r>
              <w:rPr>
                <w:rFonts w:hint="eastAsia"/>
              </w:rPr>
              <w:t>2021</w:t>
            </w:r>
          </w:p>
        </w:tc>
        <w:tc>
          <w:tcPr>
            <w:tcW w:w="839" w:type="pct"/>
            <w:tcBorders>
              <w:top w:val="single" w:color="000000" w:sz="4" w:space="0"/>
              <w:left w:val="single" w:color="000000" w:sz="4" w:space="0"/>
              <w:bottom w:val="single" w:color="000000" w:sz="4" w:space="0"/>
            </w:tcBorders>
            <w:shd w:val="clear" w:color="auto" w:fill="auto"/>
            <w:noWrap/>
            <w:vAlign w:val="center"/>
          </w:tcPr>
          <w:p w14:paraId="3863B3AE">
            <w:pPr>
              <w:pStyle w:val="25"/>
            </w:pPr>
            <w:r>
              <w:rPr>
                <w:rFonts w:hint="eastAsia"/>
              </w:rPr>
              <w:t>2020</w:t>
            </w:r>
          </w:p>
        </w:tc>
      </w:tr>
      <w:tr w14:paraId="3F2BEE4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33D2697E">
            <w:pPr>
              <w:pStyle w:val="25"/>
            </w:pPr>
            <w:r>
              <w:rPr>
                <w:rFonts w:hint="eastAsia"/>
              </w:rPr>
              <w:t>1</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E3B69">
            <w:pPr>
              <w:pStyle w:val="25"/>
            </w:pPr>
            <w:r>
              <w:rPr>
                <w:rFonts w:hint="eastAsia"/>
              </w:rPr>
              <w:t>三效蒸发</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DAD87">
            <w:pPr>
              <w:pStyle w:val="25"/>
            </w:pPr>
            <w:r>
              <w:rPr>
                <w:rFonts w:hint="eastAsia"/>
              </w:rPr>
              <w:t>0.041</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DF880">
            <w:pPr>
              <w:pStyle w:val="25"/>
            </w:pPr>
          </w:p>
        </w:tc>
        <w:tc>
          <w:tcPr>
            <w:tcW w:w="839" w:type="pct"/>
            <w:tcBorders>
              <w:top w:val="single" w:color="000000" w:sz="4" w:space="0"/>
              <w:left w:val="single" w:color="000000" w:sz="4" w:space="0"/>
              <w:bottom w:val="single" w:color="000000" w:sz="4" w:space="0"/>
            </w:tcBorders>
            <w:shd w:val="clear" w:color="auto" w:fill="auto"/>
            <w:noWrap/>
            <w:vAlign w:val="center"/>
          </w:tcPr>
          <w:p w14:paraId="5A398670">
            <w:pPr>
              <w:pStyle w:val="25"/>
            </w:pPr>
          </w:p>
        </w:tc>
      </w:tr>
      <w:tr w14:paraId="745EDBC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5740EB7C">
            <w:pPr>
              <w:pStyle w:val="25"/>
            </w:pPr>
            <w:r>
              <w:rPr>
                <w:rFonts w:hint="eastAsia"/>
              </w:rPr>
              <w:t>2</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BF965">
            <w:pPr>
              <w:pStyle w:val="25"/>
            </w:pPr>
            <w:r>
              <w:rPr>
                <w:rFonts w:hint="eastAsia"/>
              </w:rPr>
              <w:t>机械蒸汽再压缩（MVR）</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92396">
            <w:pPr>
              <w:pStyle w:val="25"/>
            </w:pPr>
            <w:r>
              <w:rPr>
                <w:rFonts w:hint="eastAsia"/>
              </w:rPr>
              <w:t>0.024</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FA513">
            <w:pPr>
              <w:pStyle w:val="25"/>
            </w:pPr>
            <w:r>
              <w:rPr>
                <w:rFonts w:hint="eastAsia"/>
              </w:rPr>
              <w:t>0.023</w:t>
            </w:r>
          </w:p>
        </w:tc>
        <w:tc>
          <w:tcPr>
            <w:tcW w:w="839" w:type="pct"/>
            <w:tcBorders>
              <w:top w:val="single" w:color="000000" w:sz="4" w:space="0"/>
              <w:left w:val="single" w:color="000000" w:sz="4" w:space="0"/>
              <w:bottom w:val="single" w:color="000000" w:sz="4" w:space="0"/>
            </w:tcBorders>
            <w:shd w:val="clear" w:color="auto" w:fill="auto"/>
            <w:noWrap/>
            <w:vAlign w:val="center"/>
          </w:tcPr>
          <w:p w14:paraId="4F4C9FF4">
            <w:pPr>
              <w:pStyle w:val="25"/>
            </w:pPr>
            <w:r>
              <w:rPr>
                <w:rFonts w:hint="eastAsia"/>
              </w:rPr>
              <w:t>0.021</w:t>
            </w:r>
          </w:p>
        </w:tc>
      </w:tr>
      <w:tr w14:paraId="0547BBF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2C6C9848">
            <w:pPr>
              <w:pStyle w:val="25"/>
            </w:pPr>
            <w:r>
              <w:rPr>
                <w:rFonts w:hint="eastAsia"/>
              </w:rPr>
              <w:t>3</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8E40C">
            <w:pPr>
              <w:pStyle w:val="25"/>
            </w:pPr>
            <w:r>
              <w:rPr>
                <w:rFonts w:hint="eastAsia"/>
              </w:rPr>
              <w:t>MVR</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013FB">
            <w:pPr>
              <w:pStyle w:val="25"/>
            </w:pPr>
            <w:r>
              <w:rPr>
                <w:rFonts w:hint="eastAsia"/>
              </w:rPr>
              <w:t>0.022</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3630E">
            <w:pPr>
              <w:pStyle w:val="25"/>
            </w:pPr>
          </w:p>
        </w:tc>
        <w:tc>
          <w:tcPr>
            <w:tcW w:w="839" w:type="pct"/>
            <w:tcBorders>
              <w:top w:val="single" w:color="000000" w:sz="4" w:space="0"/>
              <w:left w:val="single" w:color="000000" w:sz="4" w:space="0"/>
              <w:bottom w:val="single" w:color="000000" w:sz="4" w:space="0"/>
            </w:tcBorders>
            <w:shd w:val="clear" w:color="auto" w:fill="auto"/>
            <w:noWrap/>
            <w:vAlign w:val="center"/>
          </w:tcPr>
          <w:p w14:paraId="02927388">
            <w:pPr>
              <w:pStyle w:val="25"/>
            </w:pPr>
          </w:p>
        </w:tc>
      </w:tr>
      <w:tr w14:paraId="5E94A02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1590AAAB">
            <w:pPr>
              <w:pStyle w:val="25"/>
            </w:pPr>
            <w:r>
              <w:rPr>
                <w:rFonts w:hint="eastAsia"/>
              </w:rPr>
              <w:t>4</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E0300">
            <w:pPr>
              <w:pStyle w:val="25"/>
            </w:pPr>
            <w:r>
              <w:rPr>
                <w:rFonts w:hint="eastAsia"/>
              </w:rPr>
              <w:t>MVR</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A1DE7">
            <w:pPr>
              <w:pStyle w:val="25"/>
            </w:pPr>
            <w:r>
              <w:rPr>
                <w:rFonts w:hint="eastAsia"/>
              </w:rPr>
              <w:t>0.113</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79E1">
            <w:pPr>
              <w:pStyle w:val="25"/>
            </w:pPr>
            <w:r>
              <w:rPr>
                <w:rFonts w:hint="eastAsia"/>
              </w:rPr>
              <w:t>0.131</w:t>
            </w:r>
          </w:p>
        </w:tc>
        <w:tc>
          <w:tcPr>
            <w:tcW w:w="839" w:type="pct"/>
            <w:tcBorders>
              <w:top w:val="single" w:color="000000" w:sz="4" w:space="0"/>
              <w:left w:val="single" w:color="000000" w:sz="4" w:space="0"/>
              <w:bottom w:val="single" w:color="000000" w:sz="4" w:space="0"/>
            </w:tcBorders>
            <w:shd w:val="clear" w:color="auto" w:fill="auto"/>
            <w:noWrap/>
            <w:vAlign w:val="center"/>
          </w:tcPr>
          <w:p w14:paraId="226F78EC">
            <w:pPr>
              <w:pStyle w:val="25"/>
            </w:pPr>
            <w:r>
              <w:rPr>
                <w:rFonts w:hint="eastAsia"/>
              </w:rPr>
              <w:t>0.113</w:t>
            </w:r>
          </w:p>
        </w:tc>
      </w:tr>
      <w:tr w14:paraId="0EB9D80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29B706FC">
            <w:pPr>
              <w:pStyle w:val="25"/>
            </w:pPr>
            <w:r>
              <w:rPr>
                <w:rFonts w:hint="eastAsia"/>
              </w:rPr>
              <w:t>5</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88D95">
            <w:pPr>
              <w:pStyle w:val="25"/>
            </w:pPr>
            <w:r>
              <w:rPr>
                <w:rFonts w:hint="eastAsia"/>
              </w:rPr>
              <w:t>MVR</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2C39E">
            <w:pPr>
              <w:pStyle w:val="25"/>
            </w:pPr>
            <w:r>
              <w:rPr>
                <w:rFonts w:hint="eastAsia"/>
              </w:rPr>
              <w:t>0.024</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89D58">
            <w:pPr>
              <w:pStyle w:val="25"/>
            </w:pPr>
          </w:p>
        </w:tc>
        <w:tc>
          <w:tcPr>
            <w:tcW w:w="839" w:type="pct"/>
            <w:tcBorders>
              <w:top w:val="single" w:color="000000" w:sz="4" w:space="0"/>
              <w:left w:val="single" w:color="000000" w:sz="4" w:space="0"/>
              <w:bottom w:val="single" w:color="000000" w:sz="4" w:space="0"/>
            </w:tcBorders>
            <w:shd w:val="clear" w:color="auto" w:fill="auto"/>
            <w:noWrap/>
            <w:vAlign w:val="center"/>
          </w:tcPr>
          <w:p w14:paraId="284DFF1B">
            <w:pPr>
              <w:pStyle w:val="25"/>
            </w:pPr>
          </w:p>
        </w:tc>
      </w:tr>
      <w:tr w14:paraId="4947BA3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6EFDA225">
            <w:pPr>
              <w:pStyle w:val="25"/>
            </w:pPr>
            <w:r>
              <w:rPr>
                <w:rFonts w:hint="eastAsia"/>
              </w:rPr>
              <w:t>6</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B514F">
            <w:pPr>
              <w:pStyle w:val="25"/>
            </w:pPr>
            <w:r>
              <w:rPr>
                <w:rFonts w:hint="eastAsia"/>
              </w:rPr>
              <w:t>/</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F38FF">
            <w:pPr>
              <w:pStyle w:val="25"/>
            </w:pPr>
            <w:r>
              <w:rPr>
                <w:rFonts w:hint="eastAsia"/>
              </w:rPr>
              <w:t>0.008</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1A39D">
            <w:pPr>
              <w:pStyle w:val="25"/>
            </w:pPr>
          </w:p>
        </w:tc>
        <w:tc>
          <w:tcPr>
            <w:tcW w:w="839" w:type="pct"/>
            <w:tcBorders>
              <w:top w:val="single" w:color="000000" w:sz="4" w:space="0"/>
              <w:left w:val="single" w:color="000000" w:sz="4" w:space="0"/>
              <w:bottom w:val="single" w:color="000000" w:sz="4" w:space="0"/>
            </w:tcBorders>
            <w:shd w:val="clear" w:color="auto" w:fill="auto"/>
            <w:noWrap/>
            <w:vAlign w:val="center"/>
          </w:tcPr>
          <w:p w14:paraId="0A920810">
            <w:pPr>
              <w:pStyle w:val="25"/>
            </w:pPr>
          </w:p>
        </w:tc>
      </w:tr>
      <w:tr w14:paraId="7CCDA62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78D8F2C9">
            <w:pPr>
              <w:pStyle w:val="25"/>
            </w:pPr>
            <w:r>
              <w:rPr>
                <w:rFonts w:hint="eastAsia"/>
              </w:rPr>
              <w:t>7</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A461F">
            <w:pPr>
              <w:pStyle w:val="25"/>
            </w:pPr>
            <w:r>
              <w:rPr>
                <w:rFonts w:hint="eastAsia"/>
              </w:rPr>
              <w:t>/</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CD59A">
            <w:pPr>
              <w:pStyle w:val="25"/>
            </w:pPr>
            <w:r>
              <w:rPr>
                <w:rFonts w:hint="eastAsia"/>
              </w:rPr>
              <w:t>0.024</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0F181">
            <w:pPr>
              <w:pStyle w:val="25"/>
            </w:pPr>
          </w:p>
        </w:tc>
        <w:tc>
          <w:tcPr>
            <w:tcW w:w="839" w:type="pct"/>
            <w:tcBorders>
              <w:top w:val="single" w:color="000000" w:sz="4" w:space="0"/>
              <w:left w:val="single" w:color="000000" w:sz="4" w:space="0"/>
              <w:bottom w:val="single" w:color="000000" w:sz="4" w:space="0"/>
            </w:tcBorders>
            <w:shd w:val="clear" w:color="auto" w:fill="auto"/>
            <w:noWrap/>
            <w:vAlign w:val="center"/>
          </w:tcPr>
          <w:p w14:paraId="58FE40EB">
            <w:pPr>
              <w:pStyle w:val="25"/>
            </w:pPr>
          </w:p>
        </w:tc>
      </w:tr>
      <w:tr w14:paraId="19B8215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4A6FEB1C">
            <w:pPr>
              <w:pStyle w:val="25"/>
            </w:pPr>
            <w:r>
              <w:rPr>
                <w:rFonts w:hint="eastAsia"/>
              </w:rPr>
              <w:t>8</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3B50B">
            <w:pPr>
              <w:pStyle w:val="25"/>
            </w:pPr>
            <w:r>
              <w:rPr>
                <w:rFonts w:hint="eastAsia"/>
              </w:rPr>
              <w:t>/</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55266">
            <w:pPr>
              <w:pStyle w:val="25"/>
            </w:pPr>
            <w:r>
              <w:rPr>
                <w:rFonts w:hint="eastAsia"/>
              </w:rPr>
              <w:t>0.118</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0B884">
            <w:pPr>
              <w:pStyle w:val="25"/>
            </w:pPr>
            <w:r>
              <w:rPr>
                <w:rFonts w:hint="eastAsia"/>
              </w:rPr>
              <w:t>0.117</w:t>
            </w:r>
          </w:p>
        </w:tc>
        <w:tc>
          <w:tcPr>
            <w:tcW w:w="839" w:type="pct"/>
            <w:tcBorders>
              <w:top w:val="single" w:color="000000" w:sz="4" w:space="0"/>
              <w:left w:val="single" w:color="000000" w:sz="4" w:space="0"/>
              <w:bottom w:val="single" w:color="000000" w:sz="4" w:space="0"/>
            </w:tcBorders>
            <w:shd w:val="clear" w:color="auto" w:fill="auto"/>
            <w:noWrap/>
            <w:vAlign w:val="center"/>
          </w:tcPr>
          <w:p w14:paraId="339EC882">
            <w:pPr>
              <w:pStyle w:val="25"/>
            </w:pPr>
            <w:r>
              <w:rPr>
                <w:rFonts w:hint="eastAsia"/>
              </w:rPr>
              <w:t>0.117</w:t>
            </w:r>
          </w:p>
        </w:tc>
      </w:tr>
      <w:tr w14:paraId="5F28831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50C194D0">
            <w:pPr>
              <w:pStyle w:val="25"/>
            </w:pPr>
            <w:r>
              <w:rPr>
                <w:rFonts w:hint="eastAsia"/>
              </w:rPr>
              <w:t>9</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C1D2A">
            <w:pPr>
              <w:pStyle w:val="25"/>
            </w:pPr>
            <w:r>
              <w:rPr>
                <w:rFonts w:hint="eastAsia"/>
              </w:rPr>
              <w:t>/</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C4E9C">
            <w:pPr>
              <w:pStyle w:val="25"/>
            </w:pPr>
            <w:r>
              <w:rPr>
                <w:rFonts w:hint="eastAsia"/>
              </w:rPr>
              <w:t>0.039</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D86C9">
            <w:pPr>
              <w:pStyle w:val="25"/>
            </w:pPr>
            <w:r>
              <w:rPr>
                <w:rFonts w:hint="eastAsia"/>
              </w:rPr>
              <w:t>0.045</w:t>
            </w:r>
          </w:p>
        </w:tc>
        <w:tc>
          <w:tcPr>
            <w:tcW w:w="839" w:type="pct"/>
            <w:tcBorders>
              <w:top w:val="single" w:color="000000" w:sz="4" w:space="0"/>
              <w:left w:val="single" w:color="000000" w:sz="4" w:space="0"/>
              <w:bottom w:val="single" w:color="000000" w:sz="4" w:space="0"/>
            </w:tcBorders>
            <w:shd w:val="clear" w:color="auto" w:fill="auto"/>
            <w:noWrap/>
            <w:vAlign w:val="center"/>
          </w:tcPr>
          <w:p w14:paraId="44628A04">
            <w:pPr>
              <w:pStyle w:val="25"/>
            </w:pPr>
            <w:r>
              <w:rPr>
                <w:rFonts w:hint="eastAsia"/>
              </w:rPr>
              <w:t>0.042</w:t>
            </w:r>
          </w:p>
        </w:tc>
      </w:tr>
      <w:tr w14:paraId="4D3F3C1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58285300">
            <w:pPr>
              <w:pStyle w:val="25"/>
            </w:pPr>
            <w:r>
              <w:rPr>
                <w:rFonts w:hint="eastAsia"/>
              </w:rPr>
              <w:t>10</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3B23F">
            <w:pPr>
              <w:pStyle w:val="25"/>
            </w:pPr>
            <w:r>
              <w:rPr>
                <w:rFonts w:hint="eastAsia"/>
              </w:rPr>
              <w:t>/</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DD6BB">
            <w:pPr>
              <w:pStyle w:val="25"/>
            </w:pPr>
            <w:r>
              <w:rPr>
                <w:rFonts w:hint="eastAsia"/>
              </w:rPr>
              <w:t>0.216</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C07BB">
            <w:pPr>
              <w:pStyle w:val="25"/>
            </w:pPr>
            <w:r>
              <w:rPr>
                <w:rFonts w:hint="eastAsia"/>
              </w:rPr>
              <w:t>0.224</w:t>
            </w:r>
          </w:p>
        </w:tc>
        <w:tc>
          <w:tcPr>
            <w:tcW w:w="839" w:type="pct"/>
            <w:tcBorders>
              <w:top w:val="single" w:color="000000" w:sz="4" w:space="0"/>
              <w:left w:val="single" w:color="000000" w:sz="4" w:space="0"/>
              <w:bottom w:val="single" w:color="000000" w:sz="4" w:space="0"/>
            </w:tcBorders>
            <w:shd w:val="clear" w:color="auto" w:fill="auto"/>
            <w:noWrap/>
            <w:vAlign w:val="center"/>
          </w:tcPr>
          <w:p w14:paraId="198A7546">
            <w:pPr>
              <w:pStyle w:val="25"/>
            </w:pPr>
            <w:r>
              <w:rPr>
                <w:rFonts w:hint="eastAsia"/>
              </w:rPr>
              <w:t>0.216</w:t>
            </w:r>
          </w:p>
        </w:tc>
      </w:tr>
      <w:tr w14:paraId="5D05F5F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4D1BBC88">
            <w:pPr>
              <w:pStyle w:val="25"/>
            </w:pPr>
            <w:r>
              <w:rPr>
                <w:rFonts w:hint="eastAsia"/>
              </w:rPr>
              <w:t>11</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3A7C3">
            <w:pPr>
              <w:pStyle w:val="25"/>
            </w:pPr>
            <w:r>
              <w:rPr>
                <w:rFonts w:hint="eastAsia"/>
              </w:rPr>
              <w:t>/</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FEE24">
            <w:pPr>
              <w:pStyle w:val="25"/>
            </w:pPr>
            <w:r>
              <w:rPr>
                <w:rFonts w:hint="eastAsia"/>
              </w:rPr>
              <w:t>0.032</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1FB5F">
            <w:pPr>
              <w:pStyle w:val="25"/>
            </w:pPr>
          </w:p>
        </w:tc>
        <w:tc>
          <w:tcPr>
            <w:tcW w:w="839" w:type="pct"/>
            <w:tcBorders>
              <w:top w:val="single" w:color="000000" w:sz="4" w:space="0"/>
              <w:left w:val="single" w:color="000000" w:sz="4" w:space="0"/>
              <w:bottom w:val="single" w:color="000000" w:sz="4" w:space="0"/>
            </w:tcBorders>
            <w:shd w:val="clear" w:color="auto" w:fill="auto"/>
            <w:noWrap/>
            <w:vAlign w:val="center"/>
          </w:tcPr>
          <w:p w14:paraId="447DBBBA">
            <w:pPr>
              <w:pStyle w:val="25"/>
            </w:pPr>
          </w:p>
        </w:tc>
      </w:tr>
      <w:tr w14:paraId="5DC3ED9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7BDDD81D">
            <w:pPr>
              <w:pStyle w:val="25"/>
            </w:pPr>
            <w:r>
              <w:rPr>
                <w:rFonts w:hint="eastAsia"/>
              </w:rPr>
              <w:t>12</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95CFE">
            <w:pPr>
              <w:pStyle w:val="25"/>
            </w:pPr>
            <w:r>
              <w:rPr>
                <w:rFonts w:hint="eastAsia"/>
              </w:rPr>
              <w:t>/</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E48F7">
            <w:pPr>
              <w:pStyle w:val="25"/>
            </w:pPr>
            <w:r>
              <w:rPr>
                <w:rFonts w:hint="eastAsia"/>
              </w:rPr>
              <w:t>0.010</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B2E60">
            <w:pPr>
              <w:pStyle w:val="25"/>
            </w:pPr>
            <w:r>
              <w:rPr>
                <w:rFonts w:hint="eastAsia"/>
              </w:rPr>
              <w:t>0.010</w:t>
            </w:r>
          </w:p>
        </w:tc>
        <w:tc>
          <w:tcPr>
            <w:tcW w:w="839" w:type="pct"/>
            <w:tcBorders>
              <w:top w:val="single" w:color="000000" w:sz="4" w:space="0"/>
              <w:left w:val="single" w:color="000000" w:sz="4" w:space="0"/>
              <w:bottom w:val="single" w:color="000000" w:sz="4" w:space="0"/>
            </w:tcBorders>
            <w:shd w:val="clear" w:color="auto" w:fill="auto"/>
            <w:noWrap/>
            <w:vAlign w:val="center"/>
          </w:tcPr>
          <w:p w14:paraId="74AD2FC1">
            <w:pPr>
              <w:pStyle w:val="25"/>
            </w:pPr>
            <w:r>
              <w:rPr>
                <w:rFonts w:hint="eastAsia"/>
              </w:rPr>
              <w:t>0.012</w:t>
            </w:r>
          </w:p>
        </w:tc>
      </w:tr>
      <w:tr w14:paraId="347793E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5DB825E4">
            <w:pPr>
              <w:pStyle w:val="25"/>
            </w:pPr>
            <w:r>
              <w:rPr>
                <w:rFonts w:hint="eastAsia"/>
              </w:rPr>
              <w:t>13</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30797">
            <w:pPr>
              <w:pStyle w:val="25"/>
            </w:pPr>
            <w:r>
              <w:rPr>
                <w:rFonts w:hint="eastAsia"/>
              </w:rPr>
              <w:t>/</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2016A">
            <w:pPr>
              <w:pStyle w:val="25"/>
            </w:pPr>
            <w:r>
              <w:rPr>
                <w:rFonts w:hint="eastAsia"/>
              </w:rPr>
              <w:t>0.032</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C88FF">
            <w:pPr>
              <w:pStyle w:val="25"/>
            </w:pPr>
            <w:r>
              <w:rPr>
                <w:rFonts w:hint="eastAsia"/>
              </w:rPr>
              <w:t>0.039</w:t>
            </w:r>
          </w:p>
        </w:tc>
        <w:tc>
          <w:tcPr>
            <w:tcW w:w="839" w:type="pct"/>
            <w:tcBorders>
              <w:top w:val="single" w:color="000000" w:sz="4" w:space="0"/>
              <w:left w:val="single" w:color="000000" w:sz="4" w:space="0"/>
              <w:bottom w:val="single" w:color="000000" w:sz="4" w:space="0"/>
            </w:tcBorders>
            <w:shd w:val="clear" w:color="auto" w:fill="auto"/>
            <w:noWrap/>
            <w:vAlign w:val="center"/>
          </w:tcPr>
          <w:p w14:paraId="482814E5">
            <w:pPr>
              <w:pStyle w:val="25"/>
            </w:pPr>
          </w:p>
        </w:tc>
      </w:tr>
      <w:tr w14:paraId="3E17F6A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6B15DDDF">
            <w:pPr>
              <w:pStyle w:val="25"/>
            </w:pPr>
            <w:r>
              <w:rPr>
                <w:rFonts w:hint="eastAsia"/>
              </w:rPr>
              <w:t>14</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3F64">
            <w:pPr>
              <w:pStyle w:val="25"/>
            </w:pPr>
            <w:r>
              <w:rPr>
                <w:rFonts w:hint="eastAsia"/>
              </w:rPr>
              <w:t>/</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3FF66">
            <w:pPr>
              <w:pStyle w:val="25"/>
            </w:pPr>
            <w:r>
              <w:rPr>
                <w:rFonts w:hint="eastAsia"/>
              </w:rPr>
              <w:t>0.012</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6B480">
            <w:pPr>
              <w:pStyle w:val="25"/>
              <w:ind w:left="0" w:leftChars="0"/>
            </w:pPr>
            <w:r>
              <w:rPr>
                <w:rFonts w:hint="eastAsia"/>
              </w:rPr>
              <w:t>0.019</w:t>
            </w:r>
          </w:p>
        </w:tc>
        <w:tc>
          <w:tcPr>
            <w:tcW w:w="839" w:type="pct"/>
            <w:tcBorders>
              <w:top w:val="single" w:color="000000" w:sz="4" w:space="0"/>
              <w:left w:val="single" w:color="000000" w:sz="4" w:space="0"/>
              <w:bottom w:val="single" w:color="000000" w:sz="4" w:space="0"/>
            </w:tcBorders>
            <w:shd w:val="clear" w:color="auto" w:fill="auto"/>
            <w:noWrap/>
            <w:vAlign w:val="center"/>
          </w:tcPr>
          <w:p w14:paraId="66CE9E75">
            <w:pPr>
              <w:pStyle w:val="25"/>
            </w:pPr>
          </w:p>
        </w:tc>
      </w:tr>
      <w:tr w14:paraId="47CC898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26" w:type="pct"/>
            <w:tcBorders>
              <w:top w:val="single" w:color="000000" w:sz="4" w:space="0"/>
              <w:bottom w:val="single" w:color="000000" w:sz="4" w:space="0"/>
              <w:right w:val="single" w:color="000000" w:sz="4" w:space="0"/>
            </w:tcBorders>
            <w:shd w:val="clear" w:color="auto" w:fill="auto"/>
            <w:noWrap/>
            <w:vAlign w:val="center"/>
          </w:tcPr>
          <w:p w14:paraId="4BA2BF8D">
            <w:pPr>
              <w:pStyle w:val="25"/>
            </w:pPr>
            <w:r>
              <w:rPr>
                <w:rFonts w:hint="eastAsia"/>
              </w:rPr>
              <w:t>15</w:t>
            </w:r>
          </w:p>
        </w:tc>
        <w:tc>
          <w:tcPr>
            <w:tcW w:w="1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1C5E3">
            <w:pPr>
              <w:pStyle w:val="25"/>
            </w:pPr>
            <w:r>
              <w:rPr>
                <w:rFonts w:hint="eastAsia"/>
              </w:rPr>
              <w:t>/</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16AF9">
            <w:pPr>
              <w:pStyle w:val="25"/>
            </w:pPr>
            <w:r>
              <w:rPr>
                <w:rFonts w:hint="eastAsia"/>
              </w:rPr>
              <w:t>0.101</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1C923">
            <w:pPr>
              <w:pStyle w:val="25"/>
            </w:pPr>
            <w:r>
              <w:rPr>
                <w:rFonts w:hint="eastAsia"/>
              </w:rPr>
              <w:t>0.023</w:t>
            </w:r>
          </w:p>
        </w:tc>
        <w:tc>
          <w:tcPr>
            <w:tcW w:w="839" w:type="pct"/>
            <w:tcBorders>
              <w:top w:val="single" w:color="000000" w:sz="4" w:space="0"/>
              <w:left w:val="single" w:color="000000" w:sz="4" w:space="0"/>
              <w:bottom w:val="single" w:color="000000" w:sz="4" w:space="0"/>
            </w:tcBorders>
            <w:shd w:val="clear" w:color="auto" w:fill="auto"/>
            <w:noWrap/>
            <w:vAlign w:val="center"/>
          </w:tcPr>
          <w:p w14:paraId="50A9E264">
            <w:pPr>
              <w:pStyle w:val="25"/>
            </w:pPr>
            <w:r>
              <w:rPr>
                <w:rFonts w:hint="eastAsia"/>
              </w:rPr>
              <w:t>0.021</w:t>
            </w:r>
          </w:p>
        </w:tc>
      </w:tr>
      <w:tr w14:paraId="0AB524B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rPr>
          <w:trHeight w:val="340" w:hRule="atLeast"/>
          <w:jc w:val="center"/>
        </w:trPr>
        <w:tc>
          <w:tcPr>
            <w:tcW w:w="726" w:type="pct"/>
            <w:tcBorders>
              <w:top w:val="single" w:color="000000" w:sz="4" w:space="0"/>
              <w:right w:val="single" w:color="000000" w:sz="4" w:space="0"/>
            </w:tcBorders>
            <w:shd w:val="clear" w:color="auto" w:fill="auto"/>
            <w:noWrap/>
            <w:vAlign w:val="center"/>
          </w:tcPr>
          <w:p w14:paraId="44B7F248">
            <w:pPr>
              <w:pStyle w:val="25"/>
            </w:pPr>
            <w:r>
              <w:rPr>
                <w:rFonts w:hint="eastAsia"/>
              </w:rPr>
              <w:t>16</w:t>
            </w:r>
          </w:p>
        </w:tc>
        <w:tc>
          <w:tcPr>
            <w:tcW w:w="1691" w:type="pct"/>
            <w:tcBorders>
              <w:top w:val="single" w:color="000000" w:sz="4" w:space="0"/>
              <w:left w:val="single" w:color="000000" w:sz="4" w:space="0"/>
              <w:right w:val="single" w:color="000000" w:sz="4" w:space="0"/>
            </w:tcBorders>
            <w:shd w:val="clear" w:color="auto" w:fill="auto"/>
            <w:noWrap/>
            <w:vAlign w:val="center"/>
          </w:tcPr>
          <w:p w14:paraId="4BCD9086">
            <w:pPr>
              <w:pStyle w:val="25"/>
            </w:pPr>
            <w:r>
              <w:rPr>
                <w:rFonts w:hint="eastAsia"/>
              </w:rPr>
              <w:t>/</w:t>
            </w:r>
          </w:p>
        </w:tc>
        <w:tc>
          <w:tcPr>
            <w:tcW w:w="861" w:type="pct"/>
            <w:tcBorders>
              <w:top w:val="single" w:color="000000" w:sz="4" w:space="0"/>
              <w:left w:val="single" w:color="000000" w:sz="4" w:space="0"/>
              <w:right w:val="single" w:color="000000" w:sz="4" w:space="0"/>
            </w:tcBorders>
            <w:shd w:val="clear" w:color="auto" w:fill="auto"/>
            <w:noWrap/>
            <w:vAlign w:val="center"/>
          </w:tcPr>
          <w:p w14:paraId="633FB58F">
            <w:pPr>
              <w:pStyle w:val="25"/>
            </w:pPr>
            <w:r>
              <w:rPr>
                <w:rFonts w:hint="eastAsia"/>
              </w:rPr>
              <w:t>0.024</w:t>
            </w:r>
          </w:p>
        </w:tc>
        <w:tc>
          <w:tcPr>
            <w:tcW w:w="880" w:type="pct"/>
            <w:tcBorders>
              <w:top w:val="single" w:color="000000" w:sz="4" w:space="0"/>
              <w:left w:val="single" w:color="000000" w:sz="4" w:space="0"/>
              <w:right w:val="single" w:color="000000" w:sz="4" w:space="0"/>
            </w:tcBorders>
            <w:shd w:val="clear" w:color="auto" w:fill="auto"/>
            <w:noWrap/>
            <w:vAlign w:val="center"/>
          </w:tcPr>
          <w:p w14:paraId="4802856C">
            <w:pPr>
              <w:pStyle w:val="25"/>
            </w:pPr>
            <w:r>
              <w:rPr>
                <w:rFonts w:hint="eastAsia"/>
              </w:rPr>
              <w:t>0.023</w:t>
            </w:r>
          </w:p>
        </w:tc>
        <w:tc>
          <w:tcPr>
            <w:tcW w:w="839" w:type="pct"/>
            <w:tcBorders>
              <w:top w:val="single" w:color="000000" w:sz="4" w:space="0"/>
              <w:left w:val="single" w:color="000000" w:sz="4" w:space="0"/>
            </w:tcBorders>
            <w:shd w:val="clear" w:color="auto" w:fill="auto"/>
            <w:noWrap/>
            <w:vAlign w:val="center"/>
          </w:tcPr>
          <w:p w14:paraId="0A30553B">
            <w:pPr>
              <w:pStyle w:val="25"/>
            </w:pPr>
            <w:r>
              <w:rPr>
                <w:rFonts w:hint="eastAsia"/>
              </w:rPr>
              <w:t>0.021</w:t>
            </w:r>
          </w:p>
        </w:tc>
      </w:tr>
    </w:tbl>
    <w:p w14:paraId="53721C90">
      <w:pPr>
        <w:pStyle w:val="22"/>
        <w:spacing w:after="156"/>
        <w:ind w:firstLine="480"/>
      </w:pPr>
    </w:p>
    <w:p w14:paraId="03948AAB">
      <w:pPr>
        <w:pStyle w:val="2"/>
        <w:spacing w:before="156" w:after="156"/>
      </w:pPr>
      <w:bookmarkStart w:id="16" w:name="_Toc4148"/>
      <w:r>
        <w:rPr>
          <w:rFonts w:hint="eastAsia"/>
        </w:rPr>
        <w:t>标准制定原则</w:t>
      </w:r>
      <w:bookmarkEnd w:id="16"/>
    </w:p>
    <w:p w14:paraId="6CFCA665">
      <w:pPr>
        <w:pStyle w:val="22"/>
        <w:ind w:firstLine="480"/>
        <w:rPr>
          <w:rFonts w:cs="Times New Roman"/>
          <w:highlight w:val="none"/>
        </w:rPr>
      </w:pPr>
      <w:r>
        <w:rPr>
          <w:rFonts w:hint="eastAsia" w:cs="Times New Roman"/>
          <w:i w:val="0"/>
          <w:highlight w:val="none"/>
        </w:rPr>
        <w:t>《现代煤化工行业污染治理措施碳排放水平基准》团体标准制定的目的是适应煤化工单位产品生产工艺污染治理措施减污降碳水平现状，保证标准的科学性和实用性，指导煤化工行业的稳定健康发展。</w:t>
      </w:r>
    </w:p>
    <w:p w14:paraId="6E40BAE5">
      <w:pPr>
        <w:pStyle w:val="22"/>
        <w:ind w:firstLine="480"/>
        <w:rPr>
          <w:rFonts w:cs="Times New Roman"/>
          <w:highlight w:val="none"/>
        </w:rPr>
      </w:pPr>
      <w:r>
        <w:rPr>
          <w:rFonts w:hint="eastAsia" w:cs="Times New Roman"/>
          <w:i w:val="0"/>
          <w:highlight w:val="none"/>
        </w:rPr>
        <w:t>编制时遵循了下列原则：</w:t>
      </w:r>
    </w:p>
    <w:p w14:paraId="66B61DFF">
      <w:pPr>
        <w:pStyle w:val="22"/>
        <w:ind w:firstLine="480"/>
        <w:rPr>
          <w:rFonts w:cs="Times New Roman"/>
          <w:highlight w:val="none"/>
        </w:rPr>
      </w:pPr>
      <w:r>
        <w:rPr>
          <w:rFonts w:hint="eastAsia" w:cs="Times New Roman"/>
          <w:i w:val="0"/>
          <w:highlight w:val="none"/>
        </w:rPr>
        <w:t>（</w:t>
      </w:r>
      <w:r>
        <w:rPr>
          <w:rFonts w:cs="Times New Roman"/>
          <w:i w:val="0"/>
          <w:highlight w:val="none"/>
        </w:rPr>
        <w:t>1</w:t>
      </w:r>
      <w:r>
        <w:rPr>
          <w:rFonts w:hint="eastAsia" w:cs="Times New Roman"/>
          <w:i w:val="0"/>
          <w:highlight w:val="none"/>
        </w:rPr>
        <w:t>）充分考虑我国煤化工行业污染治理措施碳排放水平和特点，以及行业污染治理措施和低碳发展的需求；</w:t>
      </w:r>
    </w:p>
    <w:p w14:paraId="453658A8">
      <w:pPr>
        <w:pStyle w:val="22"/>
        <w:ind w:firstLine="480"/>
        <w:rPr>
          <w:rFonts w:cs="Times New Roman"/>
          <w:highlight w:val="none"/>
        </w:rPr>
      </w:pPr>
      <w:r>
        <w:rPr>
          <w:rFonts w:hint="eastAsia" w:cs="Times New Roman"/>
          <w:i w:val="0"/>
          <w:highlight w:val="none"/>
        </w:rPr>
        <w:t>（</w:t>
      </w:r>
      <w:r>
        <w:rPr>
          <w:rFonts w:cs="Times New Roman"/>
          <w:i w:val="0"/>
          <w:highlight w:val="none"/>
        </w:rPr>
        <w:t>2</w:t>
      </w:r>
      <w:r>
        <w:rPr>
          <w:rFonts w:hint="eastAsia" w:cs="Times New Roman"/>
          <w:i w:val="0"/>
          <w:highlight w:val="none"/>
        </w:rPr>
        <w:t>）符合国家煤化工产业相关政策。</w:t>
      </w:r>
    </w:p>
    <w:p w14:paraId="06D9E39B">
      <w:pPr>
        <w:pStyle w:val="2"/>
        <w:spacing w:before="156" w:after="156"/>
      </w:pPr>
      <w:bookmarkStart w:id="17" w:name="_Toc16059"/>
      <w:r>
        <w:rPr>
          <w:rFonts w:hint="eastAsia"/>
        </w:rPr>
        <w:t>标准主要编制内容和编制说明</w:t>
      </w:r>
      <w:bookmarkEnd w:id="17"/>
    </w:p>
    <w:p w14:paraId="01D4908F">
      <w:pPr>
        <w:pStyle w:val="3"/>
        <w:spacing w:before="156" w:after="156"/>
      </w:pPr>
      <w:bookmarkStart w:id="18" w:name="_Toc18416"/>
      <w:r>
        <w:rPr>
          <w:rFonts w:hint="eastAsia"/>
        </w:rPr>
        <w:t>范围</w:t>
      </w:r>
      <w:bookmarkEnd w:id="18"/>
    </w:p>
    <w:p w14:paraId="6FF13271">
      <w:pPr>
        <w:pStyle w:val="22"/>
        <w:ind w:firstLine="480"/>
        <w:rPr>
          <w:rFonts w:cs="Times New Roman"/>
        </w:rPr>
      </w:pPr>
      <w:r>
        <w:rPr>
          <w:rFonts w:cs="Times New Roman"/>
        </w:rPr>
        <w:t>本文件适用于煤制甲醇、煤制聚烯烃、煤制乙二醇、</w:t>
      </w:r>
      <w:r>
        <w:rPr>
          <w:rFonts w:hint="eastAsia" w:cs="Times New Roman"/>
        </w:rPr>
        <w:t>采用碎煤加压气化工艺的</w:t>
      </w:r>
      <w:r>
        <w:rPr>
          <w:rFonts w:cs="Times New Roman"/>
        </w:rPr>
        <w:t>煤制天然气、采用费托合成工艺的煤间接液化制油</w:t>
      </w:r>
      <w:r>
        <w:rPr>
          <w:rFonts w:hint="eastAsia" w:cs="Times New Roman"/>
        </w:rPr>
        <w:t>企业</w:t>
      </w:r>
      <w:r>
        <w:rPr>
          <w:rFonts w:cs="Times New Roman"/>
        </w:rPr>
        <w:t>生产过程</w:t>
      </w:r>
      <w:r>
        <w:rPr>
          <w:rFonts w:hint="eastAsia"/>
        </w:rPr>
        <w:t>污染治理措施</w:t>
      </w:r>
      <w:r>
        <w:rPr>
          <w:rFonts w:cs="Times New Roman"/>
        </w:rPr>
        <w:t>碳排放量的计算、考核，以及对新建或改（扩）建企业的</w:t>
      </w:r>
      <w:r>
        <w:rPr>
          <w:rFonts w:hint="eastAsia"/>
        </w:rPr>
        <w:t>污染治理措施</w:t>
      </w:r>
      <w:r>
        <w:rPr>
          <w:rFonts w:cs="Times New Roman"/>
        </w:rPr>
        <w:t>碳排放控制。</w:t>
      </w:r>
    </w:p>
    <w:p w14:paraId="4D06BBC6">
      <w:pPr>
        <w:pStyle w:val="3"/>
        <w:spacing w:before="156" w:after="156"/>
      </w:pPr>
      <w:bookmarkStart w:id="19" w:name="_Toc2974"/>
      <w:r>
        <w:rPr>
          <w:rFonts w:hint="eastAsia"/>
        </w:rPr>
        <w:t>术语和定义</w:t>
      </w:r>
      <w:bookmarkEnd w:id="19"/>
    </w:p>
    <w:p w14:paraId="1E9C01F6">
      <w:pPr>
        <w:pStyle w:val="22"/>
        <w:ind w:firstLine="480"/>
      </w:pPr>
      <w:r>
        <w:rPr>
          <w:rFonts w:hint="eastAsia"/>
        </w:rPr>
        <w:t>本标准参照《煤化工术语》（</w:t>
      </w:r>
      <w:r>
        <w:t>GB/T31428</w:t>
      </w:r>
      <w:r>
        <w:rPr>
          <w:rFonts w:hint="eastAsia"/>
        </w:rPr>
        <w:t>-2021）、《煤化工废水处理与回用技术导则》（</w:t>
      </w:r>
      <w:r>
        <w:t>GB/T42866</w:t>
      </w:r>
      <w:r>
        <w:rPr>
          <w:rFonts w:hint="eastAsia"/>
        </w:rPr>
        <w:t>-</w:t>
      </w:r>
      <w:r>
        <w:t>2023</w:t>
      </w:r>
      <w:r>
        <w:rPr>
          <w:rFonts w:hint="eastAsia"/>
        </w:rPr>
        <w:t>）、《挥发性有机物无组织排放控制标准》（GB37822-2019）、《现代煤化工行业碳排放基准》（</w:t>
      </w:r>
      <w:r>
        <w:t>T/CCECTA0104</w:t>
      </w:r>
      <w:r>
        <w:rPr>
          <w:rFonts w:hint="eastAsia"/>
        </w:rPr>
        <w:t>-2023）和《工业企业污染治理设施污染物去除协同控制温室气体核算技术指南（试行）》（环办科技[2017]73号）等术语和定义。</w:t>
      </w:r>
    </w:p>
    <w:p w14:paraId="23E62A26">
      <w:pPr>
        <w:pStyle w:val="3"/>
        <w:spacing w:before="156" w:after="156"/>
      </w:pPr>
      <w:bookmarkStart w:id="20" w:name="_Toc2462"/>
      <w:r>
        <w:rPr>
          <w:rFonts w:hint="eastAsia"/>
        </w:rPr>
        <w:t>技术要求</w:t>
      </w:r>
      <w:bookmarkEnd w:id="20"/>
    </w:p>
    <w:p w14:paraId="6B7AA87D">
      <w:pPr>
        <w:pStyle w:val="22"/>
        <w:ind w:firstLine="480"/>
      </w:pPr>
      <w:r>
        <w:rPr>
          <w:rFonts w:hint="eastAsia"/>
        </w:rPr>
        <w:t>此部分针对煤制甲醇、煤制聚烯烃、煤制天然气、煤间接液化制油企业的煤制合成气工序，分析计算了现代煤化工行业典型污染治理措施碳排放水平基准。</w:t>
      </w:r>
    </w:p>
    <w:p w14:paraId="7494DBDB">
      <w:pPr>
        <w:pStyle w:val="22"/>
        <w:ind w:firstLine="480"/>
      </w:pPr>
      <w:r>
        <w:rPr>
          <w:rFonts w:hint="eastAsia"/>
        </w:rPr>
        <w:t>根据现代煤化工产业现状及污染物排放现状，废气污染物源头管控措施碳排放水平按单位合成气量计，废气污染物末端治理措施碳排放水平按单位污染物去除量计，废水污染物治理措施碳排放水平按水处理量计。</w:t>
      </w:r>
    </w:p>
    <w:p w14:paraId="52C31093">
      <w:pPr>
        <w:pStyle w:val="3"/>
        <w:spacing w:before="156" w:after="156"/>
      </w:pPr>
      <w:bookmarkStart w:id="21" w:name="_Toc16307"/>
      <w:r>
        <w:rPr>
          <w:rFonts w:hint="eastAsia"/>
        </w:rPr>
        <w:t>统计范围和计算方法</w:t>
      </w:r>
      <w:bookmarkEnd w:id="21"/>
    </w:p>
    <w:p w14:paraId="285929C9">
      <w:pPr>
        <w:pStyle w:val="22"/>
        <w:ind w:firstLine="480"/>
      </w:pPr>
      <w:r>
        <w:rPr>
          <w:rFonts w:hint="eastAsia"/>
        </w:rPr>
        <w:t>本文件中所述碳排放量包括生产系统、辅助生产系统和附属生产系统产生的直接碳排放和间接碳排放量，不包括建设及改造过程和生活的碳排放量（指企业系统内宿舍、学校、文化娱乐、医疗保健、商业服务和托儿幼教等方面碳排放量）。碳排放量核算参照T/CCECTA 0104和环办科技〔2017〕73号进行计算。</w:t>
      </w:r>
    </w:p>
    <w:p w14:paraId="731795A8">
      <w:pPr>
        <w:pStyle w:val="3"/>
        <w:spacing w:before="156" w:after="156"/>
      </w:pPr>
      <w:bookmarkStart w:id="22" w:name="_Toc11173"/>
      <w:r>
        <w:rPr>
          <w:rFonts w:hint="eastAsia"/>
        </w:rPr>
        <w:t>污染治理措施碳排放管理及措施</w:t>
      </w:r>
      <w:bookmarkEnd w:id="22"/>
    </w:p>
    <w:p w14:paraId="19275B52">
      <w:pPr>
        <w:pStyle w:val="22"/>
        <w:ind w:firstLine="480"/>
      </w:pPr>
      <w:r>
        <w:rPr>
          <w:rFonts w:hint="eastAsia"/>
        </w:rPr>
        <w:t>现代煤化工行业污染治理措施的碳排放应按照T/CCECTA 0104进行减污降碳基础管理和配备减污降碳措施。</w:t>
      </w:r>
    </w:p>
    <w:p w14:paraId="1DCFFF9B">
      <w:pPr>
        <w:pStyle w:val="22"/>
        <w:ind w:firstLine="480"/>
      </w:pPr>
      <w:r>
        <w:rPr>
          <w:rFonts w:hint="eastAsia"/>
        </w:rPr>
        <w:t>企业应为污染治理措施单独合理配备能源及碳排放计量器具和仪器仪表，并使计量设备处于良好状态；对基础数据进行有效的检测、度量和计算，确保能源及碳排放基础数据的准确性和完整性。</w:t>
      </w:r>
    </w:p>
    <w:p w14:paraId="606EFEE0">
      <w:pPr>
        <w:pStyle w:val="2"/>
        <w:spacing w:before="156" w:after="156"/>
      </w:pPr>
      <w:bookmarkStart w:id="23" w:name="_Toc32686"/>
      <w:r>
        <w:rPr>
          <w:rFonts w:hint="eastAsia"/>
        </w:rPr>
        <w:t>与国际、国外同类标准水平的对比情况</w:t>
      </w:r>
      <w:bookmarkEnd w:id="23"/>
    </w:p>
    <w:p w14:paraId="3B52F5C9">
      <w:pPr>
        <w:pStyle w:val="22"/>
        <w:ind w:firstLine="480"/>
      </w:pPr>
      <w:r>
        <w:t>国内外目前无</w:t>
      </w:r>
      <w:r>
        <w:rPr>
          <w:rFonts w:hint="eastAsia"/>
        </w:rPr>
        <w:t>相关标准。</w:t>
      </w:r>
    </w:p>
    <w:p w14:paraId="1B2FFF1B">
      <w:pPr>
        <w:pStyle w:val="2"/>
        <w:spacing w:before="156" w:after="156"/>
      </w:pPr>
      <w:bookmarkStart w:id="24" w:name="_Toc27691"/>
      <w:r>
        <w:rPr>
          <w:rFonts w:hint="eastAsia"/>
        </w:rPr>
        <w:t>与现行法律、法规和强制性标准的关系</w:t>
      </w:r>
      <w:bookmarkEnd w:id="24"/>
    </w:p>
    <w:p w14:paraId="62679D06">
      <w:pPr>
        <w:pStyle w:val="22"/>
        <w:ind w:firstLine="460"/>
        <w:rPr>
          <w:u w:val="single"/>
        </w:rPr>
      </w:pPr>
      <w:r>
        <w:rPr>
          <w:rFonts w:hint="eastAsia"/>
          <w:sz w:val="23"/>
          <w:szCs w:val="23"/>
        </w:rPr>
        <w:t>至标准编制之日尚未发现与计划编制标准相冲突的现行法律、法规和强制性国家标准。</w:t>
      </w:r>
    </w:p>
    <w:p w14:paraId="1A82B63A">
      <w:pPr>
        <w:pStyle w:val="2"/>
        <w:spacing w:before="156" w:after="156"/>
      </w:pPr>
      <w:bookmarkStart w:id="25" w:name="_Toc30778"/>
      <w:r>
        <w:rPr>
          <w:rFonts w:hint="eastAsia"/>
        </w:rPr>
        <w:t>重大分歧意见的处理</w:t>
      </w:r>
      <w:bookmarkEnd w:id="25"/>
    </w:p>
    <w:p w14:paraId="2A5E029B">
      <w:pPr>
        <w:pStyle w:val="22"/>
        <w:ind w:firstLine="480"/>
      </w:pPr>
      <w:r>
        <w:rPr>
          <w:rFonts w:hint="eastAsia"/>
        </w:rPr>
        <w:t>暂无。</w:t>
      </w:r>
    </w:p>
    <w:p w14:paraId="6715332A">
      <w:pPr>
        <w:pStyle w:val="2"/>
        <w:spacing w:before="156" w:after="156"/>
      </w:pPr>
      <w:bookmarkStart w:id="26" w:name="_Toc3179"/>
      <w:r>
        <w:rPr>
          <w:rFonts w:hint="eastAsia"/>
        </w:rPr>
        <w:t>其他应予以说明的事项</w:t>
      </w:r>
      <w:bookmarkEnd w:id="26"/>
    </w:p>
    <w:p w14:paraId="56A558F3">
      <w:pPr>
        <w:pStyle w:val="22"/>
        <w:ind w:firstLine="480"/>
        <w:rPr>
          <w:rFonts w:ascii="宋体" w:hAnsi="宋体"/>
        </w:rPr>
      </w:pPr>
      <w:r>
        <w:rPr>
          <w:rFonts w:hint="eastAsia" w:ascii="宋体" w:hAnsi="宋体"/>
          <w:i w:val="0"/>
        </w:rPr>
        <w:t>新建现代煤化工项目应在环境影响评价阶段计算本标准中给出的碳排放水平，高于基准值</w:t>
      </w:r>
      <w:r>
        <w:rPr>
          <w:rFonts w:hint="eastAsia" w:ascii="宋体" w:hAnsi="宋体"/>
        </w:rPr>
        <w:t>上限</w:t>
      </w:r>
      <w:r>
        <w:rPr>
          <w:rFonts w:hint="eastAsia" w:ascii="宋体" w:hAnsi="宋体"/>
          <w:i w:val="0"/>
        </w:rPr>
        <w:t>的，应采取措施降低碳排放水平</w:t>
      </w:r>
      <w:r>
        <w:rPr>
          <w:rFonts w:hint="eastAsia" w:ascii="宋体" w:hAnsi="宋体"/>
        </w:rPr>
        <w:t>，确实无法达到的应进行</w:t>
      </w:r>
      <w:r>
        <w:rPr>
          <w:rFonts w:hint="eastAsia" w:ascii="宋体" w:hAnsi="宋体"/>
          <w:i w:val="0"/>
        </w:rPr>
        <w:t>合理性说明；在基准值范围内的，也</w:t>
      </w:r>
      <w:r>
        <w:rPr>
          <w:rFonts w:hint="eastAsia" w:ascii="宋体" w:hAnsi="宋体"/>
        </w:rPr>
        <w:t>鼓励</w:t>
      </w:r>
      <w:r>
        <w:rPr>
          <w:rFonts w:hint="eastAsia" w:ascii="宋体" w:hAnsi="宋体"/>
          <w:i w:val="0"/>
        </w:rPr>
        <w:t>持续改进，不断改善</w:t>
      </w:r>
      <w:r>
        <w:rPr>
          <w:rFonts w:hint="eastAsia" w:ascii="宋体" w:hAnsi="宋体"/>
          <w:i w:val="0"/>
          <w:szCs w:val="52"/>
        </w:rPr>
        <w:t>现代煤化工行业</w:t>
      </w:r>
      <w:bookmarkStart w:id="27" w:name="_Hlk157975805"/>
      <w:r>
        <w:rPr>
          <w:rFonts w:hint="eastAsia" w:ascii="宋体" w:hAnsi="宋体"/>
          <w:i w:val="0"/>
          <w:szCs w:val="52"/>
        </w:rPr>
        <w:t>污染治理措施</w:t>
      </w:r>
      <w:bookmarkEnd w:id="27"/>
      <w:r>
        <w:rPr>
          <w:rFonts w:hint="eastAsia" w:ascii="宋体" w:hAnsi="宋体"/>
          <w:i w:val="0"/>
          <w:szCs w:val="52"/>
        </w:rPr>
        <w:t>的碳排放水平</w:t>
      </w:r>
      <w:r>
        <w:rPr>
          <w:rFonts w:hint="eastAsia" w:ascii="宋体" w:hAnsi="宋体"/>
          <w:szCs w:val="52"/>
        </w:rPr>
        <w:t>，为污染治理措施比选提供技术支撑</w:t>
      </w:r>
      <w:r>
        <w:rPr>
          <w:rFonts w:hint="eastAsia" w:ascii="宋体" w:hAnsi="宋体"/>
          <w:i w:val="0"/>
          <w:szCs w:val="52"/>
        </w:rPr>
        <w:t>。</w:t>
      </w:r>
    </w:p>
    <w:p w14:paraId="1EA62111">
      <w:pPr>
        <w:pStyle w:val="22"/>
        <w:ind w:firstLine="480"/>
        <w:rPr>
          <w:rFonts w:ascii="宋体" w:hAnsi="宋体"/>
        </w:rPr>
      </w:pPr>
      <w:r>
        <w:rPr>
          <w:rFonts w:hint="eastAsia" w:ascii="宋体" w:hAnsi="宋体"/>
          <w:i w:val="0"/>
        </w:rPr>
        <w:t>本标准中“</w:t>
      </w:r>
      <w:r>
        <w:rPr>
          <w:rFonts w:hint="eastAsia" w:ascii="宋体" w:hAnsi="宋体"/>
        </w:rPr>
        <w:t>不同</w:t>
      </w:r>
      <w:r>
        <w:rPr>
          <w:rFonts w:hint="eastAsia" w:ascii="宋体" w:hAnsi="宋体"/>
          <w:i w:val="0"/>
        </w:rPr>
        <w:t>煤气化类型煤制合成气工序单位产品直接碳排放水平基准”与《现代煤化工行业碳排放基准》（T/CCECTA</w:t>
      </w:r>
      <w:r>
        <w:rPr>
          <w:rFonts w:ascii="宋体" w:hAnsi="宋体"/>
          <w:i w:val="0"/>
        </w:rPr>
        <w:t xml:space="preserve"> </w:t>
      </w:r>
      <w:r>
        <w:rPr>
          <w:rFonts w:hint="eastAsia" w:ascii="宋体" w:hAnsi="宋体"/>
          <w:i w:val="0"/>
        </w:rPr>
        <w:t>0104）</w:t>
      </w:r>
      <w:r>
        <w:rPr>
          <w:rFonts w:hint="eastAsia" w:ascii="宋体" w:hAnsi="宋体"/>
        </w:rPr>
        <w:t>中</w:t>
      </w:r>
      <w:r>
        <w:rPr>
          <w:rFonts w:hint="eastAsia" w:ascii="宋体" w:hAnsi="宋体"/>
          <w:i w:val="0"/>
        </w:rPr>
        <w:t>“煤制合成气工序单位产品直接碳排放量限值”</w:t>
      </w:r>
      <w:r>
        <w:rPr>
          <w:rFonts w:hint="eastAsia" w:ascii="宋体" w:hAnsi="宋体"/>
        </w:rPr>
        <w:t>在核算边界、分类方式等方面存在差异，</w:t>
      </w:r>
      <w:r>
        <w:t>现代煤化工企业</w:t>
      </w:r>
      <w:r>
        <w:rPr>
          <w:rFonts w:hint="eastAsia"/>
        </w:rPr>
        <w:t>应分别予以核算。</w:t>
      </w:r>
    </w:p>
    <w:p w14:paraId="00E9617E">
      <w:pPr>
        <w:pStyle w:val="22"/>
        <w:ind w:firstLine="480"/>
      </w:pPr>
      <w:r>
        <w:t>建议本标准发布实施后，对现代煤化工企业或建设项目污染治理措施CO2排放水平、减污降碳技术和措施的应用情况等进行持续跟踪并更新相应数据，同时，</w:t>
      </w:r>
      <w:r>
        <w:rPr>
          <w:rFonts w:hint="eastAsia"/>
        </w:rPr>
        <w:t>应按照《国家发展改革委</w:t>
      </w:r>
      <w:r>
        <w:t xml:space="preserve"> 市场监管总局 生态环境部关于进一步强化碳达峰碳中和标准计量体系建设行动方案（2024-2025年）的通知》（</w:t>
      </w:r>
      <w:r>
        <w:rPr>
          <w:rFonts w:hint="eastAsia"/>
        </w:rPr>
        <w:t>发改环资[</w:t>
      </w:r>
      <w:r>
        <w:t>2024</w:t>
      </w:r>
      <w:r>
        <w:rPr>
          <w:rFonts w:hint="eastAsia"/>
        </w:rPr>
        <w:t>]</w:t>
      </w:r>
      <w:r>
        <w:t>1046</w:t>
      </w:r>
      <w:r>
        <w:rPr>
          <w:rFonts w:hint="eastAsia"/>
        </w:rPr>
        <w:t>号</w:t>
      </w:r>
      <w:r>
        <w:t>）</w:t>
      </w:r>
      <w:r>
        <w:rPr>
          <w:rFonts w:hint="eastAsia"/>
        </w:rPr>
        <w:t>等要求，</w:t>
      </w:r>
      <w:r>
        <w:t>加快推进企业或项目的</w:t>
      </w:r>
      <w:r>
        <w:rPr>
          <w:rFonts w:hint="eastAsia"/>
        </w:rPr>
        <w:t>污染治理措施单独合理配备</w:t>
      </w:r>
      <w:r>
        <w:t>电、能源及碳排放计量器具和仪器仪表，并使计量设备处于良好状态；对基础数据进行有效的检测、度量和计算，确保电耗、能源消耗及碳排放基础数据的准确性和完整性，为后续标准的修订，亦或者上升为行业乃至国家标准提供技术支撑。</w:t>
      </w:r>
    </w:p>
    <w:p w14:paraId="3466DA08">
      <w:pPr>
        <w:pStyle w:val="22"/>
        <w:ind w:firstLine="480"/>
        <w:rPr>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B90B3">
    <w:pPr>
      <w:pStyle w:val="11"/>
      <w:jc w:val="center"/>
    </w:pPr>
  </w:p>
  <w:p w14:paraId="045414C5">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8145686"/>
    </w:sdtPr>
    <w:sdtEndPr>
      <w:rPr>
        <w:sz w:val="21"/>
        <w:szCs w:val="21"/>
      </w:rPr>
    </w:sdtEndPr>
    <w:sdtContent>
      <w:p w14:paraId="46F2050D">
        <w:pPr>
          <w:pStyle w:val="11"/>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I</w:t>
        </w:r>
        <w:r>
          <w:rPr>
            <w:sz w:val="21"/>
            <w:szCs w:val="21"/>
          </w:rPr>
          <w:fldChar w:fldCharType="end"/>
        </w:r>
      </w:p>
    </w:sdtContent>
  </w:sdt>
  <w:p w14:paraId="16C2845F">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666822"/>
    </w:sdtPr>
    <w:sdtEndPr>
      <w:rPr>
        <w:rFonts w:ascii="Times New Roman" w:hAnsi="Times New Roman" w:cs="Times New Roman"/>
      </w:rPr>
    </w:sdtEndPr>
    <w:sdtContent>
      <w:p w14:paraId="3CD4289F">
        <w:pPr>
          <w:pStyle w:val="11"/>
          <w:jc w:val="center"/>
          <w:rPr>
            <w:rFonts w:ascii="Times New Roman" w:hAnsi="Times New Roman" w:cs="Times New Roman"/>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16</w:t>
        </w:r>
        <w:r>
          <w:rPr>
            <w:rFonts w:ascii="Times New Roman" w:hAnsi="Times New Roman" w:cs="Times New Roman"/>
            <w:sz w:val="21"/>
            <w:szCs w:val="21"/>
          </w:rPr>
          <w:fldChar w:fldCharType="end"/>
        </w:r>
      </w:p>
    </w:sdtContent>
  </w:sdt>
  <w:p w14:paraId="470114EA">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EC45CD"/>
    <w:multiLevelType w:val="multilevel"/>
    <w:tmpl w:val="4CEC45CD"/>
    <w:lvl w:ilvl="0" w:tentative="0">
      <w:start w:val="1"/>
      <w:numFmt w:val="decimal"/>
      <w:pStyle w:val="2"/>
      <w:lvlText w:val="%1"/>
      <w:lvlJc w:val="left"/>
      <w:pPr>
        <w:tabs>
          <w:tab w:val="left" w:pos="454"/>
        </w:tabs>
        <w:ind w:left="0" w:firstLine="0"/>
      </w:pPr>
      <w:rPr>
        <w:rFonts w:hint="eastAsia"/>
      </w:rPr>
    </w:lvl>
    <w:lvl w:ilvl="1" w:tentative="0">
      <w:start w:val="1"/>
      <w:numFmt w:val="decimal"/>
      <w:pStyle w:val="3"/>
      <w:lvlText w:val="%1.%2"/>
      <w:lvlJc w:val="left"/>
      <w:pPr>
        <w:tabs>
          <w:tab w:val="left" w:pos="0"/>
        </w:tabs>
        <w:ind w:left="0" w:firstLine="0"/>
      </w:pPr>
      <w:rPr>
        <w:rFonts w:hint="eastAsia"/>
      </w:rPr>
    </w:lvl>
    <w:lvl w:ilvl="2" w:tentative="0">
      <w:start w:val="1"/>
      <w:numFmt w:val="decimal"/>
      <w:pStyle w:val="4"/>
      <w:lvlText w:val="%1.%2.%3"/>
      <w:lvlJc w:val="left"/>
      <w:pPr>
        <w:tabs>
          <w:tab w:val="left" w:pos="720"/>
        </w:tabs>
        <w:ind w:left="720" w:hanging="720"/>
      </w:pPr>
      <w:rPr>
        <w:rFonts w:hint="default" w:ascii="Times New Roman" w:hAnsi="Times New Roman" w:cs="Times New Roman"/>
      </w:rPr>
    </w:lvl>
    <w:lvl w:ilvl="3" w:tentative="0">
      <w:start w:val="1"/>
      <w:numFmt w:val="decimal"/>
      <w:pStyle w:val="5"/>
      <w:lvlText w:val="%1.%2.%3.%4"/>
      <w:lvlJc w:val="left"/>
      <w:pPr>
        <w:tabs>
          <w:tab w:val="left" w:pos="864"/>
        </w:tabs>
        <w:ind w:left="864" w:hanging="86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787B5C53"/>
    <w:multiLevelType w:val="multilevel"/>
    <w:tmpl w:val="787B5C53"/>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M5MDc5ODI1MzhiMWIxYWNkZTEzNzJjYjBkZjQwZDgifQ=="/>
  </w:docVars>
  <w:rsids>
    <w:rsidRoot w:val="0083461B"/>
    <w:rsid w:val="000050F6"/>
    <w:rsid w:val="0000668A"/>
    <w:rsid w:val="00014BF8"/>
    <w:rsid w:val="00026FDE"/>
    <w:rsid w:val="00055D0A"/>
    <w:rsid w:val="00074338"/>
    <w:rsid w:val="0008096A"/>
    <w:rsid w:val="00082D51"/>
    <w:rsid w:val="000A11FD"/>
    <w:rsid w:val="000B3589"/>
    <w:rsid w:val="000D15E8"/>
    <w:rsid w:val="000F329C"/>
    <w:rsid w:val="000F5484"/>
    <w:rsid w:val="000F5DC7"/>
    <w:rsid w:val="000F63F2"/>
    <w:rsid w:val="00101211"/>
    <w:rsid w:val="0010686D"/>
    <w:rsid w:val="00113F0F"/>
    <w:rsid w:val="00115CF3"/>
    <w:rsid w:val="00123E15"/>
    <w:rsid w:val="0013638A"/>
    <w:rsid w:val="00141B94"/>
    <w:rsid w:val="00146EA5"/>
    <w:rsid w:val="001518FA"/>
    <w:rsid w:val="00157CCE"/>
    <w:rsid w:val="00161793"/>
    <w:rsid w:val="00166BE6"/>
    <w:rsid w:val="00167DB0"/>
    <w:rsid w:val="001814AE"/>
    <w:rsid w:val="00184405"/>
    <w:rsid w:val="0019217D"/>
    <w:rsid w:val="001A31D7"/>
    <w:rsid w:val="001A67E9"/>
    <w:rsid w:val="001B17BD"/>
    <w:rsid w:val="001B1C93"/>
    <w:rsid w:val="001C4071"/>
    <w:rsid w:val="001C643C"/>
    <w:rsid w:val="001C7A35"/>
    <w:rsid w:val="001E5E8E"/>
    <w:rsid w:val="001F07E4"/>
    <w:rsid w:val="00201AE1"/>
    <w:rsid w:val="00202B2A"/>
    <w:rsid w:val="00210F80"/>
    <w:rsid w:val="0021197F"/>
    <w:rsid w:val="00216541"/>
    <w:rsid w:val="0021758F"/>
    <w:rsid w:val="00217CF5"/>
    <w:rsid w:val="002260D9"/>
    <w:rsid w:val="002262B1"/>
    <w:rsid w:val="00240FBF"/>
    <w:rsid w:val="00247CEA"/>
    <w:rsid w:val="00257FBA"/>
    <w:rsid w:val="0026705B"/>
    <w:rsid w:val="00272796"/>
    <w:rsid w:val="00275F57"/>
    <w:rsid w:val="00282779"/>
    <w:rsid w:val="002879B5"/>
    <w:rsid w:val="00291DA5"/>
    <w:rsid w:val="0029273F"/>
    <w:rsid w:val="00294D3D"/>
    <w:rsid w:val="002A7824"/>
    <w:rsid w:val="002C0D51"/>
    <w:rsid w:val="002C14C0"/>
    <w:rsid w:val="002C250A"/>
    <w:rsid w:val="002C4852"/>
    <w:rsid w:val="002E1389"/>
    <w:rsid w:val="002F051E"/>
    <w:rsid w:val="002F46E0"/>
    <w:rsid w:val="002F58F5"/>
    <w:rsid w:val="00305245"/>
    <w:rsid w:val="0030688C"/>
    <w:rsid w:val="003070D8"/>
    <w:rsid w:val="00324C1F"/>
    <w:rsid w:val="00333A29"/>
    <w:rsid w:val="003377BB"/>
    <w:rsid w:val="00343334"/>
    <w:rsid w:val="00355240"/>
    <w:rsid w:val="00365FC3"/>
    <w:rsid w:val="00366526"/>
    <w:rsid w:val="00366B53"/>
    <w:rsid w:val="0037068B"/>
    <w:rsid w:val="00371164"/>
    <w:rsid w:val="003911B3"/>
    <w:rsid w:val="00397243"/>
    <w:rsid w:val="003B125B"/>
    <w:rsid w:val="003B2057"/>
    <w:rsid w:val="003D10DD"/>
    <w:rsid w:val="003F5326"/>
    <w:rsid w:val="00400170"/>
    <w:rsid w:val="0040048A"/>
    <w:rsid w:val="00400A78"/>
    <w:rsid w:val="004018BB"/>
    <w:rsid w:val="004063F0"/>
    <w:rsid w:val="004072F4"/>
    <w:rsid w:val="0041259A"/>
    <w:rsid w:val="00427266"/>
    <w:rsid w:val="00436083"/>
    <w:rsid w:val="00436E23"/>
    <w:rsid w:val="00441B72"/>
    <w:rsid w:val="00444F76"/>
    <w:rsid w:val="00453FA1"/>
    <w:rsid w:val="00466CD0"/>
    <w:rsid w:val="00473233"/>
    <w:rsid w:val="00474AA3"/>
    <w:rsid w:val="00475676"/>
    <w:rsid w:val="00483E3E"/>
    <w:rsid w:val="00485F3D"/>
    <w:rsid w:val="00486AE3"/>
    <w:rsid w:val="0049038F"/>
    <w:rsid w:val="0049298C"/>
    <w:rsid w:val="004A1624"/>
    <w:rsid w:val="004A4B39"/>
    <w:rsid w:val="004B1DED"/>
    <w:rsid w:val="004B27C5"/>
    <w:rsid w:val="004B5F89"/>
    <w:rsid w:val="004C36DF"/>
    <w:rsid w:val="004C4694"/>
    <w:rsid w:val="004C476D"/>
    <w:rsid w:val="004C4FE1"/>
    <w:rsid w:val="004E22A3"/>
    <w:rsid w:val="004E6E21"/>
    <w:rsid w:val="004E7EE0"/>
    <w:rsid w:val="004F6C59"/>
    <w:rsid w:val="00500F4E"/>
    <w:rsid w:val="0051068B"/>
    <w:rsid w:val="00513576"/>
    <w:rsid w:val="005140E5"/>
    <w:rsid w:val="00517531"/>
    <w:rsid w:val="00523F9D"/>
    <w:rsid w:val="0054299C"/>
    <w:rsid w:val="005445B7"/>
    <w:rsid w:val="00552B54"/>
    <w:rsid w:val="00555A2D"/>
    <w:rsid w:val="00561C66"/>
    <w:rsid w:val="00562224"/>
    <w:rsid w:val="0056325B"/>
    <w:rsid w:val="00563F33"/>
    <w:rsid w:val="00566792"/>
    <w:rsid w:val="0057054B"/>
    <w:rsid w:val="0057073B"/>
    <w:rsid w:val="00583073"/>
    <w:rsid w:val="00585FFD"/>
    <w:rsid w:val="00593539"/>
    <w:rsid w:val="005A13CD"/>
    <w:rsid w:val="005A4779"/>
    <w:rsid w:val="005A649C"/>
    <w:rsid w:val="005B55E0"/>
    <w:rsid w:val="005C639F"/>
    <w:rsid w:val="005D058D"/>
    <w:rsid w:val="005D2CA2"/>
    <w:rsid w:val="005D6967"/>
    <w:rsid w:val="005E6C5D"/>
    <w:rsid w:val="005E7F11"/>
    <w:rsid w:val="005F14A3"/>
    <w:rsid w:val="005F64A3"/>
    <w:rsid w:val="005F7CFB"/>
    <w:rsid w:val="00605899"/>
    <w:rsid w:val="00612B80"/>
    <w:rsid w:val="0062109A"/>
    <w:rsid w:val="00632D84"/>
    <w:rsid w:val="00634BD4"/>
    <w:rsid w:val="0064230F"/>
    <w:rsid w:val="00645BF9"/>
    <w:rsid w:val="006570C3"/>
    <w:rsid w:val="00666D2F"/>
    <w:rsid w:val="0068111B"/>
    <w:rsid w:val="00681BB9"/>
    <w:rsid w:val="006B14F7"/>
    <w:rsid w:val="006B2C31"/>
    <w:rsid w:val="006B37BA"/>
    <w:rsid w:val="006C2B36"/>
    <w:rsid w:val="006C4EBB"/>
    <w:rsid w:val="006D221E"/>
    <w:rsid w:val="006D2620"/>
    <w:rsid w:val="006D4FEE"/>
    <w:rsid w:val="006D5218"/>
    <w:rsid w:val="006E7E32"/>
    <w:rsid w:val="006F1822"/>
    <w:rsid w:val="00702A6A"/>
    <w:rsid w:val="00703957"/>
    <w:rsid w:val="00705188"/>
    <w:rsid w:val="00713B5F"/>
    <w:rsid w:val="0072402A"/>
    <w:rsid w:val="007336B5"/>
    <w:rsid w:val="007374CF"/>
    <w:rsid w:val="00745655"/>
    <w:rsid w:val="007648A1"/>
    <w:rsid w:val="00764E2D"/>
    <w:rsid w:val="007651E4"/>
    <w:rsid w:val="00772118"/>
    <w:rsid w:val="00793791"/>
    <w:rsid w:val="007A1247"/>
    <w:rsid w:val="007A4615"/>
    <w:rsid w:val="007B3E30"/>
    <w:rsid w:val="007B5E13"/>
    <w:rsid w:val="007C2423"/>
    <w:rsid w:val="00800516"/>
    <w:rsid w:val="0080103A"/>
    <w:rsid w:val="00810EE1"/>
    <w:rsid w:val="00814289"/>
    <w:rsid w:val="00816E35"/>
    <w:rsid w:val="00820D02"/>
    <w:rsid w:val="008248F7"/>
    <w:rsid w:val="00830BCE"/>
    <w:rsid w:val="008311CF"/>
    <w:rsid w:val="0083461B"/>
    <w:rsid w:val="0084085F"/>
    <w:rsid w:val="00841A4E"/>
    <w:rsid w:val="008444E7"/>
    <w:rsid w:val="00847133"/>
    <w:rsid w:val="00847CDC"/>
    <w:rsid w:val="008502A0"/>
    <w:rsid w:val="00852FFC"/>
    <w:rsid w:val="0086223B"/>
    <w:rsid w:val="00863218"/>
    <w:rsid w:val="008731EC"/>
    <w:rsid w:val="00874980"/>
    <w:rsid w:val="00883FFC"/>
    <w:rsid w:val="00885991"/>
    <w:rsid w:val="0088702C"/>
    <w:rsid w:val="00887B51"/>
    <w:rsid w:val="00891087"/>
    <w:rsid w:val="0089633E"/>
    <w:rsid w:val="00896348"/>
    <w:rsid w:val="008970D8"/>
    <w:rsid w:val="008A0AEB"/>
    <w:rsid w:val="008A0F38"/>
    <w:rsid w:val="008C0FC8"/>
    <w:rsid w:val="008C2C54"/>
    <w:rsid w:val="008C4945"/>
    <w:rsid w:val="008C6E24"/>
    <w:rsid w:val="008D5AC5"/>
    <w:rsid w:val="008E7A4E"/>
    <w:rsid w:val="00904460"/>
    <w:rsid w:val="00906207"/>
    <w:rsid w:val="0091256F"/>
    <w:rsid w:val="00913A3E"/>
    <w:rsid w:val="00917059"/>
    <w:rsid w:val="00924591"/>
    <w:rsid w:val="009276E3"/>
    <w:rsid w:val="0092772F"/>
    <w:rsid w:val="00932E7B"/>
    <w:rsid w:val="00957DA6"/>
    <w:rsid w:val="00961649"/>
    <w:rsid w:val="00973AE2"/>
    <w:rsid w:val="0098065B"/>
    <w:rsid w:val="00995D2A"/>
    <w:rsid w:val="009B28C3"/>
    <w:rsid w:val="009C5536"/>
    <w:rsid w:val="009C6969"/>
    <w:rsid w:val="009D285C"/>
    <w:rsid w:val="009D4179"/>
    <w:rsid w:val="009D52B7"/>
    <w:rsid w:val="009E036C"/>
    <w:rsid w:val="009F4150"/>
    <w:rsid w:val="009F568F"/>
    <w:rsid w:val="00A0378F"/>
    <w:rsid w:val="00A03EAE"/>
    <w:rsid w:val="00A1513E"/>
    <w:rsid w:val="00A154C3"/>
    <w:rsid w:val="00A253B5"/>
    <w:rsid w:val="00A321FC"/>
    <w:rsid w:val="00A3561C"/>
    <w:rsid w:val="00A4272A"/>
    <w:rsid w:val="00A55D9D"/>
    <w:rsid w:val="00A611EE"/>
    <w:rsid w:val="00A64286"/>
    <w:rsid w:val="00A645DC"/>
    <w:rsid w:val="00A90BC0"/>
    <w:rsid w:val="00A95FE0"/>
    <w:rsid w:val="00AA4755"/>
    <w:rsid w:val="00AB4E58"/>
    <w:rsid w:val="00AC1720"/>
    <w:rsid w:val="00AD1897"/>
    <w:rsid w:val="00AE10D4"/>
    <w:rsid w:val="00B002CD"/>
    <w:rsid w:val="00B05586"/>
    <w:rsid w:val="00B154FB"/>
    <w:rsid w:val="00B23475"/>
    <w:rsid w:val="00B26CE6"/>
    <w:rsid w:val="00B3162C"/>
    <w:rsid w:val="00B37A44"/>
    <w:rsid w:val="00B52E73"/>
    <w:rsid w:val="00B5667C"/>
    <w:rsid w:val="00B60C2B"/>
    <w:rsid w:val="00B63F56"/>
    <w:rsid w:val="00B64568"/>
    <w:rsid w:val="00B6710D"/>
    <w:rsid w:val="00B7019D"/>
    <w:rsid w:val="00B7565B"/>
    <w:rsid w:val="00B820DC"/>
    <w:rsid w:val="00B86B39"/>
    <w:rsid w:val="00B963F3"/>
    <w:rsid w:val="00BA2246"/>
    <w:rsid w:val="00BB0799"/>
    <w:rsid w:val="00BB5511"/>
    <w:rsid w:val="00BC0C07"/>
    <w:rsid w:val="00BE2D99"/>
    <w:rsid w:val="00C0054C"/>
    <w:rsid w:val="00C016F8"/>
    <w:rsid w:val="00C04766"/>
    <w:rsid w:val="00C060DF"/>
    <w:rsid w:val="00C0725F"/>
    <w:rsid w:val="00C106A5"/>
    <w:rsid w:val="00C121A4"/>
    <w:rsid w:val="00C147CF"/>
    <w:rsid w:val="00C416B3"/>
    <w:rsid w:val="00C5042D"/>
    <w:rsid w:val="00C53EA0"/>
    <w:rsid w:val="00C56EAC"/>
    <w:rsid w:val="00C67BD5"/>
    <w:rsid w:val="00C71E8A"/>
    <w:rsid w:val="00C73CE8"/>
    <w:rsid w:val="00C831E4"/>
    <w:rsid w:val="00C835AC"/>
    <w:rsid w:val="00C905B8"/>
    <w:rsid w:val="00C90DA4"/>
    <w:rsid w:val="00CA5465"/>
    <w:rsid w:val="00CB28A6"/>
    <w:rsid w:val="00CB4135"/>
    <w:rsid w:val="00CB586A"/>
    <w:rsid w:val="00CB6E75"/>
    <w:rsid w:val="00CC33AD"/>
    <w:rsid w:val="00CC3F50"/>
    <w:rsid w:val="00CC73A1"/>
    <w:rsid w:val="00CC7642"/>
    <w:rsid w:val="00CE1A17"/>
    <w:rsid w:val="00CE2C16"/>
    <w:rsid w:val="00CE3DCE"/>
    <w:rsid w:val="00CE560F"/>
    <w:rsid w:val="00CF7663"/>
    <w:rsid w:val="00D013F5"/>
    <w:rsid w:val="00D04C43"/>
    <w:rsid w:val="00D1496E"/>
    <w:rsid w:val="00D16436"/>
    <w:rsid w:val="00D169F8"/>
    <w:rsid w:val="00D174C6"/>
    <w:rsid w:val="00D21044"/>
    <w:rsid w:val="00D34AD2"/>
    <w:rsid w:val="00D42F75"/>
    <w:rsid w:val="00D47A47"/>
    <w:rsid w:val="00D523E0"/>
    <w:rsid w:val="00D60CB7"/>
    <w:rsid w:val="00D6313A"/>
    <w:rsid w:val="00D6340C"/>
    <w:rsid w:val="00D653E3"/>
    <w:rsid w:val="00D82F36"/>
    <w:rsid w:val="00D832E0"/>
    <w:rsid w:val="00D902D3"/>
    <w:rsid w:val="00DA420D"/>
    <w:rsid w:val="00DC3BD5"/>
    <w:rsid w:val="00DC4BA8"/>
    <w:rsid w:val="00DC50E3"/>
    <w:rsid w:val="00DD1A9B"/>
    <w:rsid w:val="00DE27FF"/>
    <w:rsid w:val="00DE6B5C"/>
    <w:rsid w:val="00DF449A"/>
    <w:rsid w:val="00E053A2"/>
    <w:rsid w:val="00E15D08"/>
    <w:rsid w:val="00E16B1B"/>
    <w:rsid w:val="00E201B1"/>
    <w:rsid w:val="00E429CB"/>
    <w:rsid w:val="00E47360"/>
    <w:rsid w:val="00E503DC"/>
    <w:rsid w:val="00E53F3E"/>
    <w:rsid w:val="00E54940"/>
    <w:rsid w:val="00E56389"/>
    <w:rsid w:val="00E62B18"/>
    <w:rsid w:val="00E66ABF"/>
    <w:rsid w:val="00E741B7"/>
    <w:rsid w:val="00E83486"/>
    <w:rsid w:val="00E8580A"/>
    <w:rsid w:val="00E9755E"/>
    <w:rsid w:val="00EA1E67"/>
    <w:rsid w:val="00EA4675"/>
    <w:rsid w:val="00EB6165"/>
    <w:rsid w:val="00EB63E6"/>
    <w:rsid w:val="00EC4F29"/>
    <w:rsid w:val="00EC7641"/>
    <w:rsid w:val="00ED4F65"/>
    <w:rsid w:val="00EF0259"/>
    <w:rsid w:val="00EF40A0"/>
    <w:rsid w:val="00EF57AB"/>
    <w:rsid w:val="00EF67C1"/>
    <w:rsid w:val="00F05C9D"/>
    <w:rsid w:val="00F21F15"/>
    <w:rsid w:val="00F23F68"/>
    <w:rsid w:val="00F244BD"/>
    <w:rsid w:val="00F32AB8"/>
    <w:rsid w:val="00F352D1"/>
    <w:rsid w:val="00F46BDA"/>
    <w:rsid w:val="00F520F2"/>
    <w:rsid w:val="00F570E3"/>
    <w:rsid w:val="00F7101A"/>
    <w:rsid w:val="00F720C5"/>
    <w:rsid w:val="00F73A82"/>
    <w:rsid w:val="00F75FB0"/>
    <w:rsid w:val="00F86E30"/>
    <w:rsid w:val="00F90647"/>
    <w:rsid w:val="00F97A1B"/>
    <w:rsid w:val="00F97BA4"/>
    <w:rsid w:val="00FA1451"/>
    <w:rsid w:val="00FA2F42"/>
    <w:rsid w:val="00FA603A"/>
    <w:rsid w:val="00FB7C20"/>
    <w:rsid w:val="00FC6C89"/>
    <w:rsid w:val="00FD07F7"/>
    <w:rsid w:val="00FD27E6"/>
    <w:rsid w:val="00FD3D1C"/>
    <w:rsid w:val="00FE0D12"/>
    <w:rsid w:val="00FE4784"/>
    <w:rsid w:val="00FE7A62"/>
    <w:rsid w:val="00FF0B75"/>
    <w:rsid w:val="00FF1484"/>
    <w:rsid w:val="00FF44AE"/>
    <w:rsid w:val="00FF46F9"/>
    <w:rsid w:val="00FF61BC"/>
    <w:rsid w:val="01B511CF"/>
    <w:rsid w:val="02B71F28"/>
    <w:rsid w:val="03F616D6"/>
    <w:rsid w:val="0B1004FB"/>
    <w:rsid w:val="0E3A02BC"/>
    <w:rsid w:val="0FAC349D"/>
    <w:rsid w:val="101D7F82"/>
    <w:rsid w:val="102D5468"/>
    <w:rsid w:val="11B83355"/>
    <w:rsid w:val="13635598"/>
    <w:rsid w:val="14465852"/>
    <w:rsid w:val="15C52657"/>
    <w:rsid w:val="18064E13"/>
    <w:rsid w:val="1BA04359"/>
    <w:rsid w:val="1C1B2B57"/>
    <w:rsid w:val="1D630053"/>
    <w:rsid w:val="1D745EE6"/>
    <w:rsid w:val="1FA37098"/>
    <w:rsid w:val="1FD7246A"/>
    <w:rsid w:val="21BB7CA8"/>
    <w:rsid w:val="276746C9"/>
    <w:rsid w:val="2A66792D"/>
    <w:rsid w:val="2CFF3478"/>
    <w:rsid w:val="33D67D8A"/>
    <w:rsid w:val="37B309C9"/>
    <w:rsid w:val="3C1A067E"/>
    <w:rsid w:val="3ECA1BDD"/>
    <w:rsid w:val="428224F0"/>
    <w:rsid w:val="43FD192F"/>
    <w:rsid w:val="46362EF9"/>
    <w:rsid w:val="4F9E08CB"/>
    <w:rsid w:val="523A50BC"/>
    <w:rsid w:val="588F1FFB"/>
    <w:rsid w:val="58C947AA"/>
    <w:rsid w:val="58D1300F"/>
    <w:rsid w:val="59020D60"/>
    <w:rsid w:val="59A73D4E"/>
    <w:rsid w:val="5A08422A"/>
    <w:rsid w:val="5A277DFB"/>
    <w:rsid w:val="5B721072"/>
    <w:rsid w:val="5FE91989"/>
    <w:rsid w:val="6170182A"/>
    <w:rsid w:val="62740A30"/>
    <w:rsid w:val="627B50DB"/>
    <w:rsid w:val="62BD37D0"/>
    <w:rsid w:val="62BF5904"/>
    <w:rsid w:val="664A237C"/>
    <w:rsid w:val="687E3158"/>
    <w:rsid w:val="6A200FA0"/>
    <w:rsid w:val="6B4526B6"/>
    <w:rsid w:val="6DD9712E"/>
    <w:rsid w:val="6F85105E"/>
    <w:rsid w:val="74A3508C"/>
    <w:rsid w:val="78474A20"/>
    <w:rsid w:val="7A565290"/>
    <w:rsid w:val="7F2A164C"/>
    <w:rsid w:val="7FFF2F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0"/>
    <w:qFormat/>
    <w:uiPriority w:val="0"/>
    <w:pPr>
      <w:keepNext/>
      <w:keepLines/>
      <w:numPr>
        <w:ilvl w:val="0"/>
        <w:numId w:val="1"/>
      </w:numPr>
      <w:spacing w:beforeLines="50" w:afterLines="50" w:line="360" w:lineRule="auto"/>
      <w:outlineLvl w:val="0"/>
    </w:pPr>
    <w:rPr>
      <w:rFonts w:ascii="Times New Roman" w:hAnsi="Times New Roman" w:eastAsia="楷体_GB2312" w:cs="Times New Roman"/>
      <w:b/>
      <w:kern w:val="44"/>
      <w:sz w:val="44"/>
      <w:szCs w:val="21"/>
    </w:rPr>
  </w:style>
  <w:style w:type="paragraph" w:styleId="3">
    <w:name w:val="heading 2"/>
    <w:basedOn w:val="1"/>
    <w:next w:val="1"/>
    <w:link w:val="41"/>
    <w:qFormat/>
    <w:uiPriority w:val="0"/>
    <w:pPr>
      <w:keepNext/>
      <w:keepLines/>
      <w:numPr>
        <w:ilvl w:val="1"/>
        <w:numId w:val="1"/>
      </w:numPr>
      <w:spacing w:beforeLines="50" w:afterLines="50" w:line="360" w:lineRule="auto"/>
      <w:jc w:val="left"/>
      <w:outlineLvl w:val="1"/>
    </w:pPr>
    <w:rPr>
      <w:rFonts w:ascii="Times New Roman" w:hAnsi="Times New Roman" w:eastAsia="楷体_GB2312" w:cs="Times New Roman"/>
      <w:b/>
      <w:bCs/>
      <w:smallCaps/>
      <w:sz w:val="36"/>
      <w:szCs w:val="28"/>
    </w:rPr>
  </w:style>
  <w:style w:type="paragraph" w:styleId="4">
    <w:name w:val="heading 3"/>
    <w:basedOn w:val="1"/>
    <w:next w:val="1"/>
    <w:link w:val="42"/>
    <w:qFormat/>
    <w:uiPriority w:val="0"/>
    <w:pPr>
      <w:keepNext/>
      <w:keepLines/>
      <w:numPr>
        <w:ilvl w:val="2"/>
        <w:numId w:val="1"/>
      </w:numPr>
      <w:spacing w:beforeLines="50" w:afterLines="50" w:line="360" w:lineRule="auto"/>
      <w:outlineLvl w:val="2"/>
    </w:pPr>
    <w:rPr>
      <w:rFonts w:ascii="Times New Roman" w:hAnsi="Times New Roman" w:eastAsia="华文楷体" w:cs="Times New Roman"/>
      <w:b/>
      <w:bCs/>
      <w:sz w:val="32"/>
      <w:szCs w:val="21"/>
    </w:rPr>
  </w:style>
  <w:style w:type="paragraph" w:styleId="5">
    <w:name w:val="heading 4"/>
    <w:basedOn w:val="1"/>
    <w:next w:val="1"/>
    <w:link w:val="43"/>
    <w:qFormat/>
    <w:uiPriority w:val="0"/>
    <w:pPr>
      <w:numPr>
        <w:ilvl w:val="3"/>
        <w:numId w:val="1"/>
      </w:numPr>
      <w:adjustRightInd w:val="0"/>
      <w:spacing w:beforeLines="50" w:afterLines="50" w:line="360" w:lineRule="auto"/>
      <w:ind w:left="0" w:firstLine="0"/>
      <w:jc w:val="left"/>
      <w:textAlignment w:val="baseline"/>
      <w:outlineLvl w:val="3"/>
    </w:pPr>
    <w:rPr>
      <w:rFonts w:ascii="Times New Roman" w:hAnsi="Times New Roman" w:eastAsia="宋体" w:cs="Times New Roman"/>
      <w:b/>
      <w:bCs/>
      <w:smallCaps/>
      <w:sz w:val="28"/>
      <w:szCs w:val="24"/>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Document Map"/>
    <w:basedOn w:val="1"/>
    <w:link w:val="53"/>
    <w:semiHidden/>
    <w:unhideWhenUsed/>
    <w:qFormat/>
    <w:uiPriority w:val="99"/>
    <w:rPr>
      <w:rFonts w:ascii="宋体" w:eastAsia="宋体"/>
      <w:sz w:val="18"/>
      <w:szCs w:val="18"/>
    </w:rPr>
  </w:style>
  <w:style w:type="paragraph" w:styleId="8">
    <w:name w:val="annotation text"/>
    <w:basedOn w:val="1"/>
    <w:link w:val="46"/>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Balloon Text"/>
    <w:basedOn w:val="1"/>
    <w:link w:val="54"/>
    <w:semiHidden/>
    <w:unhideWhenUsed/>
    <w:qFormat/>
    <w:uiPriority w:val="99"/>
    <w:rPr>
      <w:sz w:val="18"/>
      <w:szCs w:val="18"/>
    </w:r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oc 2"/>
    <w:basedOn w:val="1"/>
    <w:next w:val="1"/>
    <w:unhideWhenUsed/>
    <w:qFormat/>
    <w:uiPriority w:val="39"/>
    <w:pPr>
      <w:ind w:left="420" w:leftChars="200"/>
    </w:pPr>
  </w:style>
  <w:style w:type="paragraph" w:styleId="15">
    <w:name w:val="annotation subject"/>
    <w:basedOn w:val="8"/>
    <w:next w:val="8"/>
    <w:link w:val="47"/>
    <w:semiHidden/>
    <w:unhideWhenUsed/>
    <w:qFormat/>
    <w:uiPriority w:val="99"/>
    <w:rPr>
      <w:b/>
      <w:bCs/>
    </w:rPr>
  </w:style>
  <w:style w:type="character" w:styleId="18">
    <w:name w:val="Strong"/>
    <w:basedOn w:val="17"/>
    <w:qFormat/>
    <w:uiPriority w:val="22"/>
    <w:rPr>
      <w:b/>
      <w:bCs/>
    </w:rPr>
  </w:style>
  <w:style w:type="character" w:styleId="19">
    <w:name w:val="Emphasis"/>
    <w:basedOn w:val="17"/>
    <w:qFormat/>
    <w:uiPriority w:val="20"/>
    <w:rPr>
      <w:i/>
    </w:rPr>
  </w:style>
  <w:style w:type="character" w:styleId="20">
    <w:name w:val="Hyperlink"/>
    <w:basedOn w:val="17"/>
    <w:unhideWhenUsed/>
    <w:qFormat/>
    <w:uiPriority w:val="99"/>
    <w:rPr>
      <w:color w:val="0563C1" w:themeColor="hyperlink"/>
      <w:u w:val="single"/>
    </w:rPr>
  </w:style>
  <w:style w:type="character" w:styleId="21">
    <w:name w:val="annotation reference"/>
    <w:basedOn w:val="17"/>
    <w:semiHidden/>
    <w:unhideWhenUsed/>
    <w:qFormat/>
    <w:uiPriority w:val="99"/>
    <w:rPr>
      <w:sz w:val="21"/>
      <w:szCs w:val="21"/>
    </w:rPr>
  </w:style>
  <w:style w:type="paragraph" w:customStyle="1" w:styleId="22">
    <w:name w:val="A-z正文"/>
    <w:basedOn w:val="1"/>
    <w:link w:val="23"/>
    <w:qFormat/>
    <w:uiPriority w:val="0"/>
    <w:pPr>
      <w:spacing w:line="360" w:lineRule="auto"/>
      <w:ind w:firstLine="200" w:firstLineChars="200"/>
    </w:pPr>
    <w:rPr>
      <w:rFonts w:ascii="Times New Roman" w:hAnsi="Times New Roman" w:eastAsia="宋体" w:cs="宋体"/>
      <w:sz w:val="24"/>
      <w:szCs w:val="20"/>
    </w:rPr>
  </w:style>
  <w:style w:type="character" w:customStyle="1" w:styleId="23">
    <w:name w:val="A-z正文 Char"/>
    <w:basedOn w:val="17"/>
    <w:link w:val="22"/>
    <w:qFormat/>
    <w:uiPriority w:val="0"/>
    <w:rPr>
      <w:rFonts w:ascii="Times New Roman" w:hAnsi="Times New Roman" w:eastAsia="宋体" w:cs="宋体"/>
      <w:sz w:val="24"/>
      <w:szCs w:val="20"/>
    </w:rPr>
  </w:style>
  <w:style w:type="table" w:customStyle="1" w:styleId="24">
    <w:name w:val="A-表格属性"/>
    <w:basedOn w:val="16"/>
    <w:qFormat/>
    <w:uiPriority w:val="99"/>
    <w:pPr>
      <w:jc w:val="center"/>
    </w:p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
    <w:trPr>
      <w:tblHeader/>
    </w:trPr>
    <w:tcPr>
      <w:vAlign w:val="center"/>
    </w:tcPr>
  </w:style>
  <w:style w:type="paragraph" w:customStyle="1" w:styleId="25">
    <w:name w:val="A-表格文字"/>
    <w:basedOn w:val="1"/>
    <w:next w:val="22"/>
    <w:link w:val="26"/>
    <w:qFormat/>
    <w:uiPriority w:val="0"/>
    <w:pPr>
      <w:autoSpaceDE w:val="0"/>
      <w:autoSpaceDN w:val="0"/>
      <w:adjustRightInd w:val="0"/>
      <w:jc w:val="center"/>
      <w:textAlignment w:val="center"/>
    </w:pPr>
    <w:rPr>
      <w:rFonts w:ascii="Times New Roman" w:hAnsi="Times New Roman" w:eastAsia="宋体" w:cs="Times New Roman"/>
      <w:kern w:val="0"/>
      <w:szCs w:val="21"/>
    </w:rPr>
  </w:style>
  <w:style w:type="character" w:customStyle="1" w:styleId="26">
    <w:name w:val="A-表格文字 Char"/>
    <w:basedOn w:val="17"/>
    <w:link w:val="25"/>
    <w:qFormat/>
    <w:uiPriority w:val="0"/>
    <w:rPr>
      <w:rFonts w:ascii="Times New Roman" w:hAnsi="Times New Roman" w:eastAsia="宋体" w:cs="Times New Roman"/>
      <w:kern w:val="0"/>
      <w:szCs w:val="21"/>
    </w:rPr>
  </w:style>
  <w:style w:type="paragraph" w:customStyle="1" w:styleId="27">
    <w:name w:val="A-题注-表"/>
    <w:basedOn w:val="6"/>
    <w:link w:val="28"/>
    <w:qFormat/>
    <w:uiPriority w:val="0"/>
    <w:pPr>
      <w:spacing w:beforeLines="50" w:line="360" w:lineRule="auto"/>
      <w:jc w:val="center"/>
    </w:pPr>
    <w:rPr>
      <w:rFonts w:ascii="Times New Roman" w:hAnsi="Times New Roman" w:eastAsia="宋体" w:cs="Arial"/>
      <w:b/>
      <w:sz w:val="21"/>
    </w:rPr>
  </w:style>
  <w:style w:type="character" w:customStyle="1" w:styleId="28">
    <w:name w:val="A-题注-表 Char"/>
    <w:basedOn w:val="17"/>
    <w:link w:val="27"/>
    <w:uiPriority w:val="0"/>
    <w:rPr>
      <w:rFonts w:ascii="Times New Roman" w:hAnsi="Times New Roman" w:eastAsia="宋体" w:cs="Arial"/>
      <w:b/>
      <w:szCs w:val="20"/>
    </w:rPr>
  </w:style>
  <w:style w:type="paragraph" w:customStyle="1" w:styleId="29">
    <w:name w:val="A-题注-图"/>
    <w:basedOn w:val="27"/>
    <w:link w:val="30"/>
    <w:qFormat/>
    <w:uiPriority w:val="0"/>
    <w:pPr>
      <w:spacing w:beforeLines="0" w:afterLines="50"/>
    </w:pPr>
  </w:style>
  <w:style w:type="character" w:customStyle="1" w:styleId="30">
    <w:name w:val="A-题注-图 Char"/>
    <w:basedOn w:val="28"/>
    <w:link w:val="29"/>
    <w:qFormat/>
    <w:uiPriority w:val="0"/>
    <w:rPr>
      <w:rFonts w:ascii="Times New Roman" w:hAnsi="Times New Roman" w:eastAsia="宋体" w:cs="Arial"/>
      <w:szCs w:val="20"/>
    </w:rPr>
  </w:style>
  <w:style w:type="paragraph" w:customStyle="1" w:styleId="31">
    <w:name w:val="A-尾注"/>
    <w:basedOn w:val="22"/>
    <w:link w:val="32"/>
    <w:qFormat/>
    <w:uiPriority w:val="0"/>
    <w:pPr>
      <w:spacing w:line="240" w:lineRule="auto"/>
      <w:ind w:firstLine="0" w:firstLineChars="0"/>
      <w:jc w:val="left"/>
    </w:pPr>
    <w:rPr>
      <w:rFonts w:cs="Times New Roman"/>
      <w:sz w:val="18"/>
    </w:rPr>
  </w:style>
  <w:style w:type="character" w:customStyle="1" w:styleId="32">
    <w:name w:val="A-尾注 Char"/>
    <w:basedOn w:val="23"/>
    <w:link w:val="31"/>
    <w:qFormat/>
    <w:uiPriority w:val="0"/>
    <w:rPr>
      <w:rFonts w:ascii="Times New Roman" w:hAnsi="Times New Roman" w:eastAsia="宋体" w:cs="Times New Roman"/>
      <w:sz w:val="18"/>
      <w:szCs w:val="20"/>
    </w:rPr>
  </w:style>
  <w:style w:type="paragraph" w:customStyle="1" w:styleId="33">
    <w:name w:val="A-问题已解决"/>
    <w:basedOn w:val="1"/>
    <w:qFormat/>
    <w:uiPriority w:val="0"/>
    <w:pPr>
      <w:spacing w:line="360" w:lineRule="auto"/>
      <w:ind w:firstLine="444" w:firstLineChars="200"/>
    </w:pPr>
    <w:rPr>
      <w:rFonts w:ascii="宋体" w:hAnsi="Times New Roman" w:eastAsia="宋体" w:cs="宋体"/>
      <w:strike/>
      <w:szCs w:val="21"/>
    </w:rPr>
  </w:style>
  <w:style w:type="paragraph" w:customStyle="1" w:styleId="34">
    <w:name w:val="A-页脚"/>
    <w:basedOn w:val="11"/>
    <w:link w:val="35"/>
    <w:qFormat/>
    <w:uiPriority w:val="0"/>
    <w:pPr>
      <w:ind w:firstLine="480"/>
    </w:pPr>
    <w:rPr>
      <w:rFonts w:ascii="Times New Roman" w:hAnsi="Times New Roman" w:eastAsia="宋体" w:cs="Times New Roman"/>
    </w:rPr>
  </w:style>
  <w:style w:type="character" w:customStyle="1" w:styleId="35">
    <w:name w:val="A-页脚 Char"/>
    <w:basedOn w:val="17"/>
    <w:link w:val="34"/>
    <w:qFormat/>
    <w:uiPriority w:val="0"/>
    <w:rPr>
      <w:rFonts w:ascii="Times New Roman" w:hAnsi="Times New Roman" w:eastAsia="宋体" w:cs="Times New Roman"/>
      <w:sz w:val="18"/>
      <w:szCs w:val="18"/>
    </w:rPr>
  </w:style>
  <w:style w:type="character" w:customStyle="1" w:styleId="36">
    <w:name w:val="页脚 Char"/>
    <w:basedOn w:val="17"/>
    <w:link w:val="11"/>
    <w:uiPriority w:val="99"/>
    <w:rPr>
      <w:sz w:val="18"/>
      <w:szCs w:val="18"/>
    </w:rPr>
  </w:style>
  <w:style w:type="paragraph" w:customStyle="1" w:styleId="37">
    <w:name w:val="A-页眉"/>
    <w:basedOn w:val="12"/>
    <w:link w:val="38"/>
    <w:qFormat/>
    <w:uiPriority w:val="0"/>
    <w:pPr>
      <w:ind w:firstLine="480"/>
    </w:pPr>
    <w:rPr>
      <w:rFonts w:ascii="Times New Roman" w:hAnsi="Times New Roman" w:eastAsia="宋体" w:cs="Times New Roman"/>
      <w:lang w:val="zh-CN"/>
    </w:rPr>
  </w:style>
  <w:style w:type="character" w:customStyle="1" w:styleId="38">
    <w:name w:val="A-页眉 Char"/>
    <w:basedOn w:val="17"/>
    <w:link w:val="37"/>
    <w:qFormat/>
    <w:uiPriority w:val="0"/>
    <w:rPr>
      <w:rFonts w:ascii="Times New Roman" w:hAnsi="Times New Roman" w:eastAsia="宋体" w:cs="Times New Roman"/>
      <w:sz w:val="18"/>
      <w:szCs w:val="18"/>
      <w:lang w:val="zh-CN"/>
    </w:rPr>
  </w:style>
  <w:style w:type="character" w:customStyle="1" w:styleId="39">
    <w:name w:val="页眉 Char"/>
    <w:basedOn w:val="17"/>
    <w:link w:val="12"/>
    <w:qFormat/>
    <w:uiPriority w:val="99"/>
    <w:rPr>
      <w:sz w:val="18"/>
      <w:szCs w:val="18"/>
    </w:rPr>
  </w:style>
  <w:style w:type="character" w:customStyle="1" w:styleId="40">
    <w:name w:val="标题 1 Char"/>
    <w:basedOn w:val="17"/>
    <w:link w:val="2"/>
    <w:qFormat/>
    <w:uiPriority w:val="0"/>
    <w:rPr>
      <w:rFonts w:ascii="Times New Roman" w:hAnsi="Times New Roman" w:eastAsia="楷体_GB2312" w:cs="Times New Roman"/>
      <w:b/>
      <w:kern w:val="44"/>
      <w:sz w:val="44"/>
      <w:szCs w:val="21"/>
    </w:rPr>
  </w:style>
  <w:style w:type="character" w:customStyle="1" w:styleId="41">
    <w:name w:val="标题 2 Char"/>
    <w:basedOn w:val="17"/>
    <w:link w:val="3"/>
    <w:qFormat/>
    <w:uiPriority w:val="0"/>
    <w:rPr>
      <w:rFonts w:ascii="Times New Roman" w:hAnsi="Times New Roman" w:eastAsia="楷体_GB2312" w:cs="Times New Roman"/>
      <w:b/>
      <w:bCs/>
      <w:smallCaps/>
      <w:sz w:val="36"/>
      <w:szCs w:val="28"/>
    </w:rPr>
  </w:style>
  <w:style w:type="character" w:customStyle="1" w:styleId="42">
    <w:name w:val="标题 3 Char"/>
    <w:basedOn w:val="17"/>
    <w:link w:val="4"/>
    <w:qFormat/>
    <w:uiPriority w:val="0"/>
    <w:rPr>
      <w:rFonts w:ascii="Times New Roman" w:hAnsi="Times New Roman" w:eastAsia="华文楷体" w:cs="Times New Roman"/>
      <w:b/>
      <w:bCs/>
      <w:sz w:val="32"/>
      <w:szCs w:val="21"/>
    </w:rPr>
  </w:style>
  <w:style w:type="character" w:customStyle="1" w:styleId="43">
    <w:name w:val="标题 4 Char"/>
    <w:basedOn w:val="17"/>
    <w:link w:val="5"/>
    <w:qFormat/>
    <w:uiPriority w:val="0"/>
    <w:rPr>
      <w:rFonts w:ascii="Times New Roman" w:hAnsi="Times New Roman" w:eastAsia="宋体" w:cs="Times New Roman"/>
      <w:b/>
      <w:bCs/>
      <w:smallCaps/>
      <w:sz w:val="28"/>
      <w:szCs w:val="24"/>
    </w:rPr>
  </w:style>
  <w:style w:type="paragraph" w:styleId="44">
    <w:name w:val="List Paragraph"/>
    <w:basedOn w:val="1"/>
    <w:qFormat/>
    <w:uiPriority w:val="34"/>
    <w:pPr>
      <w:ind w:firstLine="420" w:firstLineChars="200"/>
    </w:pPr>
  </w:style>
  <w:style w:type="paragraph" w:customStyle="1" w:styleId="45">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46">
    <w:name w:val="批注文字 Char"/>
    <w:basedOn w:val="17"/>
    <w:link w:val="8"/>
    <w:qFormat/>
    <w:uiPriority w:val="99"/>
  </w:style>
  <w:style w:type="character" w:customStyle="1" w:styleId="47">
    <w:name w:val="批注主题 Char"/>
    <w:basedOn w:val="46"/>
    <w:link w:val="15"/>
    <w:semiHidden/>
    <w:qFormat/>
    <w:uiPriority w:val="99"/>
    <w:rPr>
      <w:b/>
      <w:bCs/>
    </w:rPr>
  </w:style>
  <w:style w:type="paragraph" w:customStyle="1" w:styleId="48">
    <w:name w:val="TOC 标题1"/>
    <w:basedOn w:val="2"/>
    <w:next w:val="1"/>
    <w:unhideWhenUsed/>
    <w:qFormat/>
    <w:uiPriority w:val="39"/>
    <w:pPr>
      <w:widowControl/>
      <w:numPr>
        <w:numId w:val="0"/>
      </w:numPr>
      <w:spacing w:beforeLines="0" w:afterLines="0" w:line="259" w:lineRule="auto"/>
      <w:jc w:val="left"/>
      <w:outlineLvl w:val="9"/>
    </w:pPr>
    <w:rPr>
      <w:rFonts w:asciiTheme="majorHAnsi" w:hAnsiTheme="majorHAnsi" w:eastAsiaTheme="majorEastAsia" w:cstheme="majorBidi"/>
      <w:b w:val="0"/>
      <w:color w:val="2F5496" w:themeColor="accent1" w:themeShade="BF"/>
      <w:kern w:val="0"/>
      <w:sz w:val="32"/>
      <w:szCs w:val="32"/>
    </w:rPr>
  </w:style>
  <w:style w:type="paragraph" w:customStyle="1" w:styleId="4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0">
    <w:name w:val="font31"/>
    <w:basedOn w:val="17"/>
    <w:qFormat/>
    <w:uiPriority w:val="0"/>
    <w:rPr>
      <w:rFonts w:ascii="楷体_GB2312" w:eastAsia="楷体_GB2312" w:cs="楷体_GB2312"/>
      <w:color w:val="000000"/>
      <w:sz w:val="20"/>
      <w:szCs w:val="20"/>
      <w:u w:val="none"/>
    </w:rPr>
  </w:style>
  <w:style w:type="character" w:customStyle="1" w:styleId="51">
    <w:name w:val="font11"/>
    <w:basedOn w:val="17"/>
    <w:qFormat/>
    <w:uiPriority w:val="0"/>
    <w:rPr>
      <w:rFonts w:hint="default" w:ascii="Times New Roman" w:hAnsi="Times New Roman" w:cs="Times New Roman"/>
      <w:color w:val="000000"/>
      <w:sz w:val="20"/>
      <w:szCs w:val="20"/>
      <w:u w:val="none"/>
    </w:rPr>
  </w:style>
  <w:style w:type="character" w:customStyle="1" w:styleId="52">
    <w:name w:val="font41"/>
    <w:basedOn w:val="17"/>
    <w:qFormat/>
    <w:uiPriority w:val="0"/>
    <w:rPr>
      <w:rFonts w:hint="eastAsia" w:ascii="楷体_GB2312" w:eastAsia="楷体_GB2312" w:cs="楷体_GB2312"/>
      <w:color w:val="000000"/>
      <w:sz w:val="22"/>
      <w:szCs w:val="22"/>
      <w:u w:val="none"/>
    </w:rPr>
  </w:style>
  <w:style w:type="character" w:customStyle="1" w:styleId="53">
    <w:name w:val="文档结构图 Char"/>
    <w:basedOn w:val="17"/>
    <w:link w:val="7"/>
    <w:semiHidden/>
    <w:uiPriority w:val="99"/>
    <w:rPr>
      <w:rFonts w:ascii="宋体" w:hAnsiTheme="minorHAnsi" w:cstheme="minorBidi"/>
      <w:kern w:val="2"/>
      <w:sz w:val="18"/>
      <w:szCs w:val="18"/>
    </w:rPr>
  </w:style>
  <w:style w:type="character" w:customStyle="1" w:styleId="54">
    <w:name w:val="批注框文本 Char"/>
    <w:basedOn w:val="17"/>
    <w:link w:val="10"/>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21487;&#30740;&#31561;\97875%20&#23425;&#22799;&#29616;&#20195;&#29028;&#21270;&#24037;&#34892;&#19994;&#27745;&#26579;&#27835;&#29702;&#25514;&#26045;&#30899;&#25490;&#25918;&#27700;&#24179;&#30740;&#31350;\&#26368;&#32456;&#25968;&#25454;\&#25968;&#25454;&#22788;&#297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bar"/>
        <c:grouping val="clustered"/>
        <c:varyColors val="0"/>
        <c:ser>
          <c:idx val="1"/>
          <c:order val="0"/>
          <c:tx>
            <c:strRef>
              <c:f>废气源头!$B$1</c:f>
              <c:strCache>
                <c:ptCount val="1"/>
                <c:pt idx="0">
                  <c:v>二氧化碳排放水平（ tCO2/KNm3（CO+H2））</c:v>
                </c:pt>
              </c:strCache>
            </c:strRef>
          </c:tx>
          <c:spPr>
            <a:solidFill>
              <a:schemeClr val="accent2"/>
            </a:solidFill>
            <a:ln>
              <a:noFill/>
            </a:ln>
            <a:effectLst/>
          </c:spPr>
          <c:invertIfNegative val="0"/>
          <c:dPt>
            <c:idx val="1"/>
            <c:invertIfNegative val="0"/>
            <c:bubble3D val="0"/>
            <c:spPr>
              <a:solidFill>
                <a:srgbClr val="92D050"/>
              </a:solidFill>
              <a:ln>
                <a:noFill/>
              </a:ln>
              <a:effectLst/>
            </c:spPr>
          </c:dPt>
          <c:dPt>
            <c:idx val="15"/>
            <c:invertIfNegative val="0"/>
            <c:bubble3D val="0"/>
            <c:spPr>
              <a:solidFill>
                <a:srgbClr val="92D050"/>
              </a:solidFill>
              <a:ln>
                <a:noFill/>
              </a:ln>
              <a:effectLst/>
            </c:spPr>
          </c:dPt>
          <c:dPt>
            <c:idx val="31"/>
            <c:invertIfNegative val="0"/>
            <c:bubble3D val="0"/>
            <c:spPr>
              <a:solidFill>
                <a:srgbClr val="92D050"/>
              </a:solidFill>
              <a:ln>
                <a:noFill/>
              </a:ln>
              <a:effectLst/>
            </c:spPr>
          </c:dPt>
          <c:dPt>
            <c:idx val="33"/>
            <c:invertIfNegative val="0"/>
            <c:bubble3D val="0"/>
            <c:spPr>
              <a:solidFill>
                <a:srgbClr val="FFC000"/>
              </a:solidFill>
              <a:ln>
                <a:noFill/>
              </a:ln>
              <a:effectLst/>
            </c:spPr>
          </c:dPt>
          <c:dPt>
            <c:idx val="34"/>
            <c:invertIfNegative val="0"/>
            <c:bubble3D val="0"/>
            <c:spPr>
              <a:solidFill>
                <a:srgbClr val="FFC000"/>
              </a:solidFill>
              <a:ln>
                <a:noFill/>
              </a:ln>
              <a:effectLst/>
            </c:spPr>
          </c:dPt>
          <c:dPt>
            <c:idx val="35"/>
            <c:invertIfNegative val="0"/>
            <c:bubble3D val="0"/>
            <c:spPr>
              <a:solidFill>
                <a:srgbClr val="FFC000"/>
              </a:solidFill>
              <a:ln>
                <a:noFill/>
              </a:ln>
              <a:effectLst/>
            </c:spPr>
          </c:dPt>
          <c:dPt>
            <c:idx val="38"/>
            <c:invertIfNegative val="0"/>
            <c:bubble3D val="0"/>
            <c:spPr>
              <a:solidFill>
                <a:srgbClr val="FFC000"/>
              </a:solidFill>
              <a:ln>
                <a:noFill/>
              </a:ln>
              <a:effectLst/>
            </c:spPr>
          </c:dPt>
          <c:dPt>
            <c:idx val="39"/>
            <c:invertIfNegative val="0"/>
            <c:bubble3D val="0"/>
            <c:spPr>
              <a:solidFill>
                <a:srgbClr val="FFC000"/>
              </a:solidFill>
              <a:ln>
                <a:noFill/>
              </a:ln>
              <a:effectLst/>
            </c:spPr>
          </c:dPt>
          <c:dPt>
            <c:idx val="40"/>
            <c:invertIfNegative val="0"/>
            <c:bubble3D val="0"/>
            <c:spPr>
              <a:solidFill>
                <a:srgbClr val="FFC000"/>
              </a:solidFill>
              <a:ln>
                <a:noFill/>
              </a:ln>
              <a:effectLst/>
            </c:spPr>
          </c:dPt>
          <c:dPt>
            <c:idx val="42"/>
            <c:invertIfNegative val="0"/>
            <c:bubble3D val="0"/>
            <c:spPr>
              <a:solidFill>
                <a:srgbClr val="FFC000"/>
              </a:solidFill>
              <a:ln>
                <a:noFill/>
              </a:ln>
              <a:effectLst/>
            </c:spPr>
          </c:dPt>
          <c:dLbls>
            <c:delete val="1"/>
          </c:dLbls>
          <c:cat>
            <c:strRef>
              <c:f>废气源头!$A$2:$A$44</c:f>
              <c:strCache>
                <c:ptCount val="43"/>
                <c:pt idx="0">
                  <c:v>5</c:v>
                </c:pt>
                <c:pt idx="1">
                  <c:v>28</c:v>
                </c:pt>
                <c:pt idx="2">
                  <c:v>4</c:v>
                </c:pt>
                <c:pt idx="3">
                  <c:v>15(2021年)</c:v>
                </c:pt>
                <c:pt idx="4">
                  <c:v>15(2022年)</c:v>
                </c:pt>
                <c:pt idx="5">
                  <c:v>1</c:v>
                </c:pt>
                <c:pt idx="6">
                  <c:v>7</c:v>
                </c:pt>
                <c:pt idx="7">
                  <c:v>10</c:v>
                </c:pt>
                <c:pt idx="8">
                  <c:v>21</c:v>
                </c:pt>
                <c:pt idx="9">
                  <c:v>22</c:v>
                </c:pt>
                <c:pt idx="10">
                  <c:v>9</c:v>
                </c:pt>
                <c:pt idx="11">
                  <c:v>17</c:v>
                </c:pt>
                <c:pt idx="12">
                  <c:v>11</c:v>
                </c:pt>
                <c:pt idx="13">
                  <c:v>2</c:v>
                </c:pt>
                <c:pt idx="14">
                  <c:v>14</c:v>
                </c:pt>
                <c:pt idx="15">
                  <c:v>29</c:v>
                </c:pt>
                <c:pt idx="16">
                  <c:v>13</c:v>
                </c:pt>
                <c:pt idx="17">
                  <c:v>18(2020年)</c:v>
                </c:pt>
                <c:pt idx="18">
                  <c:v>16(2021年)</c:v>
                </c:pt>
                <c:pt idx="19">
                  <c:v>16(2020年)</c:v>
                </c:pt>
                <c:pt idx="20">
                  <c:v>18(2021年)</c:v>
                </c:pt>
                <c:pt idx="21">
                  <c:v>12</c:v>
                </c:pt>
                <c:pt idx="22">
                  <c:v>18(2022年)</c:v>
                </c:pt>
                <c:pt idx="23">
                  <c:v>23</c:v>
                </c:pt>
                <c:pt idx="24">
                  <c:v>31</c:v>
                </c:pt>
                <c:pt idx="25">
                  <c:v>6</c:v>
                </c:pt>
                <c:pt idx="26">
                  <c:v>19(2022年)</c:v>
                </c:pt>
                <c:pt idx="27">
                  <c:v>30</c:v>
                </c:pt>
                <c:pt idx="28">
                  <c:v>19(2021年)</c:v>
                </c:pt>
                <c:pt idx="29">
                  <c:v>3</c:v>
                </c:pt>
                <c:pt idx="30">
                  <c:v>8(2020年)</c:v>
                </c:pt>
                <c:pt idx="31">
                  <c:v>8(2022年)</c:v>
                </c:pt>
                <c:pt idx="32">
                  <c:v>19(2020年)</c:v>
                </c:pt>
                <c:pt idx="33">
                  <c:v>27</c:v>
                </c:pt>
                <c:pt idx="34">
                  <c:v>8(2021年)</c:v>
                </c:pt>
                <c:pt idx="35">
                  <c:v>24(2020年)</c:v>
                </c:pt>
                <c:pt idx="36">
                  <c:v>24(2021年)</c:v>
                </c:pt>
                <c:pt idx="37">
                  <c:v>25(2021年)</c:v>
                </c:pt>
                <c:pt idx="38">
                  <c:v>20(2020年)</c:v>
                </c:pt>
                <c:pt idx="39">
                  <c:v>20(2021年)</c:v>
                </c:pt>
                <c:pt idx="40">
                  <c:v>25(2020年)</c:v>
                </c:pt>
                <c:pt idx="41">
                  <c:v>24(2022年)</c:v>
                </c:pt>
                <c:pt idx="42">
                  <c:v>25(2022年)</c:v>
                </c:pt>
              </c:strCache>
            </c:strRef>
          </c:cat>
          <c:val>
            <c:numRef>
              <c:f>废气源头!$B$2:$B$44</c:f>
              <c:numCache>
                <c:formatCode>General</c:formatCode>
                <c:ptCount val="43"/>
                <c:pt idx="0">
                  <c:v>0.044</c:v>
                </c:pt>
                <c:pt idx="1">
                  <c:v>0.128</c:v>
                </c:pt>
                <c:pt idx="2">
                  <c:v>0.445</c:v>
                </c:pt>
                <c:pt idx="3">
                  <c:v>0.454</c:v>
                </c:pt>
                <c:pt idx="4">
                  <c:v>0.481</c:v>
                </c:pt>
                <c:pt idx="5">
                  <c:v>0.594</c:v>
                </c:pt>
                <c:pt idx="6">
                  <c:v>0.701000000000001</c:v>
                </c:pt>
                <c:pt idx="7">
                  <c:v>0.701000000000001</c:v>
                </c:pt>
                <c:pt idx="8">
                  <c:v>0.701000000000001</c:v>
                </c:pt>
                <c:pt idx="9">
                  <c:v>0.701000000000001</c:v>
                </c:pt>
                <c:pt idx="10">
                  <c:v>0.738000000000001</c:v>
                </c:pt>
                <c:pt idx="11">
                  <c:v>0.746000000000001</c:v>
                </c:pt>
                <c:pt idx="12">
                  <c:v>0.791</c:v>
                </c:pt>
                <c:pt idx="13">
                  <c:v>0.841000000000001</c:v>
                </c:pt>
                <c:pt idx="14">
                  <c:v>0.856000000000001</c:v>
                </c:pt>
                <c:pt idx="15">
                  <c:v>0.88</c:v>
                </c:pt>
                <c:pt idx="16">
                  <c:v>0.892</c:v>
                </c:pt>
                <c:pt idx="17">
                  <c:v>0.902</c:v>
                </c:pt>
                <c:pt idx="18">
                  <c:v>0.917</c:v>
                </c:pt>
                <c:pt idx="19">
                  <c:v>0.922</c:v>
                </c:pt>
                <c:pt idx="20">
                  <c:v>0.922</c:v>
                </c:pt>
                <c:pt idx="21">
                  <c:v>0.933</c:v>
                </c:pt>
                <c:pt idx="22">
                  <c:v>0.945</c:v>
                </c:pt>
                <c:pt idx="23">
                  <c:v>0.978</c:v>
                </c:pt>
                <c:pt idx="24">
                  <c:v>0.983</c:v>
                </c:pt>
                <c:pt idx="25">
                  <c:v>1.107</c:v>
                </c:pt>
                <c:pt idx="26">
                  <c:v>1.134</c:v>
                </c:pt>
                <c:pt idx="27">
                  <c:v>1.141</c:v>
                </c:pt>
                <c:pt idx="28">
                  <c:v>1.163</c:v>
                </c:pt>
                <c:pt idx="29">
                  <c:v>1.258</c:v>
                </c:pt>
                <c:pt idx="30">
                  <c:v>1.275</c:v>
                </c:pt>
                <c:pt idx="31">
                  <c:v>1.28</c:v>
                </c:pt>
                <c:pt idx="32">
                  <c:v>1.287</c:v>
                </c:pt>
                <c:pt idx="33">
                  <c:v>1.317</c:v>
                </c:pt>
                <c:pt idx="34">
                  <c:v>1.343</c:v>
                </c:pt>
                <c:pt idx="35">
                  <c:v>1.37</c:v>
                </c:pt>
                <c:pt idx="36">
                  <c:v>1.376</c:v>
                </c:pt>
                <c:pt idx="37">
                  <c:v>1.378</c:v>
                </c:pt>
                <c:pt idx="38">
                  <c:v>1.381</c:v>
                </c:pt>
                <c:pt idx="39">
                  <c:v>1.425</c:v>
                </c:pt>
                <c:pt idx="40">
                  <c:v>1.431</c:v>
                </c:pt>
                <c:pt idx="41">
                  <c:v>1.443</c:v>
                </c:pt>
                <c:pt idx="42">
                  <c:v>1.449</c:v>
                </c:pt>
              </c:numCache>
            </c:numRef>
          </c:val>
        </c:ser>
        <c:dLbls>
          <c:showLegendKey val="0"/>
          <c:showVal val="0"/>
          <c:showCatName val="0"/>
          <c:showSerName val="0"/>
          <c:showPercent val="0"/>
          <c:showBubbleSize val="0"/>
        </c:dLbls>
        <c:gapWidth val="182"/>
        <c:axId val="221341184"/>
        <c:axId val="221342720"/>
      </c:barChart>
      <c:catAx>
        <c:axId val="221341184"/>
        <c:scaling>
          <c:orientation val="minMax"/>
        </c:scaling>
        <c:delete val="0"/>
        <c:axPos val="l"/>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1342720"/>
        <c:crosses val="autoZero"/>
        <c:auto val="1"/>
        <c:lblAlgn val="ctr"/>
        <c:lblOffset val="100"/>
        <c:noMultiLvlLbl val="0"/>
      </c:catAx>
      <c:valAx>
        <c:axId val="221342720"/>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13411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19B9-18C0-4567-A2B6-46DCE0B49C93}">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15</Pages>
  <Words>7795</Words>
  <Characters>9517</Characters>
  <Lines>84</Lines>
  <Paragraphs>23</Paragraphs>
  <TotalTime>0</TotalTime>
  <ScaleCrop>false</ScaleCrop>
  <LinksUpToDate>false</LinksUpToDate>
  <CharactersWithSpaces>9665</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2022-07-02T04:41:00Z</dcterms:created>
  <dc:creator>张 岩</dc:creator>
  <cp:lastModifiedBy>zxl</cp:lastModifiedBy>
  <cp:lastPrinted>2022-11-18T06:50:00Z</cp:lastPrinted>
  <dcterms:modified xsi:type="dcterms:W3CDTF">2024-11-15T08:37:43Z</dcterms:modified>
  <cp:revision>589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5BA731D7A66D4461A3D56EB93A62F64C</vt:lpwstr>
  </property>
</Properties>
</file>